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94A1A" w14:textId="0364CCC4" w:rsidR="009D4ED4" w:rsidRPr="006E0C28" w:rsidRDefault="009D4ED4" w:rsidP="005D17B1">
      <w:pPr>
        <w:pStyle w:val="Sinespaciado"/>
        <w:rPr>
          <w:rFonts w:asciiTheme="minorHAnsi" w:hAnsiTheme="minorHAnsi" w:cstheme="minorHAnsi"/>
          <w:b/>
          <w:sz w:val="22"/>
          <w:szCs w:val="22"/>
          <w:u w:val="single"/>
        </w:rPr>
      </w:pPr>
      <w:r w:rsidRPr="006E0C28">
        <w:rPr>
          <w:rFonts w:asciiTheme="minorHAnsi" w:hAnsiTheme="minorHAnsi" w:cstheme="minorHAnsi"/>
          <w:b/>
          <w:sz w:val="22"/>
          <w:szCs w:val="22"/>
          <w:u w:val="single"/>
        </w:rPr>
        <w:t>AL SERVICIO DE ATENCIÓN AL CLIENTE DE CAIXABANK</w:t>
      </w:r>
    </w:p>
    <w:p w14:paraId="2A3FE155" w14:textId="77777777" w:rsidR="00887007" w:rsidRDefault="00887007" w:rsidP="005D17B1">
      <w:pPr>
        <w:pStyle w:val="Sinespaciado"/>
        <w:rPr>
          <w:rFonts w:asciiTheme="minorHAnsi" w:hAnsiTheme="minorHAnsi" w:cstheme="minorHAnsi"/>
          <w:sz w:val="22"/>
          <w:szCs w:val="22"/>
        </w:rPr>
      </w:pPr>
      <w:r w:rsidRPr="00887007">
        <w:rPr>
          <w:rFonts w:asciiTheme="minorHAnsi" w:hAnsiTheme="minorHAnsi" w:cstheme="minorHAnsi"/>
          <w:sz w:val="22"/>
          <w:szCs w:val="22"/>
        </w:rPr>
        <w:t xml:space="preserve">Pintor Sorolla, 2-4, </w:t>
      </w:r>
    </w:p>
    <w:p w14:paraId="1DED8583" w14:textId="77777777" w:rsidR="00D714F5" w:rsidRDefault="00887007" w:rsidP="005D17B1">
      <w:pPr>
        <w:pStyle w:val="Sinespaciado"/>
        <w:rPr>
          <w:rFonts w:asciiTheme="minorHAnsi" w:hAnsiTheme="minorHAnsi" w:cstheme="minorHAnsi"/>
          <w:sz w:val="22"/>
          <w:szCs w:val="22"/>
        </w:rPr>
      </w:pPr>
      <w:r w:rsidRPr="00887007">
        <w:rPr>
          <w:rFonts w:asciiTheme="minorHAnsi" w:hAnsiTheme="minorHAnsi" w:cstheme="minorHAnsi"/>
          <w:sz w:val="22"/>
          <w:szCs w:val="22"/>
        </w:rPr>
        <w:t>46002, Valencia</w:t>
      </w:r>
    </w:p>
    <w:p w14:paraId="7F3CAC0F" w14:textId="77777777" w:rsidR="00D016EF" w:rsidRDefault="00D016EF" w:rsidP="005D17B1">
      <w:pPr>
        <w:pStyle w:val="Sinespaciado"/>
        <w:rPr>
          <w:rFonts w:asciiTheme="minorHAnsi" w:hAnsiTheme="minorHAnsi" w:cstheme="minorHAnsi"/>
          <w:sz w:val="22"/>
          <w:szCs w:val="22"/>
        </w:rPr>
      </w:pPr>
    </w:p>
    <w:p w14:paraId="387DA948" w14:textId="013E903F" w:rsidR="00D016EF" w:rsidRDefault="00D016EF" w:rsidP="005D17B1">
      <w:pPr>
        <w:pStyle w:val="Sinespaciado"/>
        <w:rPr>
          <w:rFonts w:asciiTheme="minorHAnsi" w:hAnsiTheme="minorHAnsi" w:cstheme="minorHAnsi"/>
          <w:sz w:val="22"/>
          <w:szCs w:val="22"/>
        </w:rPr>
      </w:pPr>
      <w:r>
        <w:rPr>
          <w:rFonts w:asciiTheme="minorHAnsi" w:hAnsiTheme="minorHAnsi" w:cstheme="minorHAnsi"/>
          <w:sz w:val="22"/>
          <w:szCs w:val="22"/>
        </w:rPr>
        <w:t xml:space="preserve">Email: </w:t>
      </w:r>
    </w:p>
    <w:p w14:paraId="6754DB74" w14:textId="77777777" w:rsidR="002D670B" w:rsidRDefault="002D670B" w:rsidP="005D17B1">
      <w:pPr>
        <w:pStyle w:val="Sinespaciado"/>
        <w:rPr>
          <w:rFonts w:asciiTheme="minorHAnsi" w:hAnsiTheme="minorHAnsi" w:cstheme="minorHAnsi"/>
          <w:sz w:val="22"/>
          <w:szCs w:val="22"/>
        </w:rPr>
      </w:pPr>
    </w:p>
    <w:p w14:paraId="49AF098D" w14:textId="4D8E4E0B" w:rsidR="002D670B" w:rsidRPr="0009608A" w:rsidRDefault="002D670B" w:rsidP="005D17B1">
      <w:pPr>
        <w:pStyle w:val="Sinespaciado"/>
        <w:rPr>
          <w:rFonts w:asciiTheme="minorHAnsi" w:hAnsiTheme="minorHAnsi" w:cstheme="minorHAnsi"/>
          <w:sz w:val="22"/>
          <w:szCs w:val="22"/>
        </w:rPr>
      </w:pPr>
      <w:r w:rsidRPr="0009608A">
        <w:rPr>
          <w:rFonts w:asciiTheme="minorHAnsi" w:hAnsiTheme="minorHAnsi" w:cstheme="minorHAnsi"/>
          <w:sz w:val="22"/>
          <w:szCs w:val="22"/>
        </w:rPr>
        <w:t>Asunto: reclamación de gastos de hipoteca</w:t>
      </w:r>
    </w:p>
    <w:p w14:paraId="3BC3401E" w14:textId="77777777" w:rsidR="00380F06" w:rsidRDefault="00380F06" w:rsidP="005D17B1">
      <w:pPr>
        <w:pStyle w:val="Sinespaciado"/>
        <w:rPr>
          <w:rFonts w:asciiTheme="minorHAnsi" w:hAnsiTheme="minorHAnsi" w:cstheme="minorHAnsi"/>
          <w:sz w:val="22"/>
          <w:szCs w:val="22"/>
        </w:rPr>
      </w:pPr>
    </w:p>
    <w:p w14:paraId="5D1AD103" w14:textId="33B377D7" w:rsidR="009D4ED4" w:rsidRPr="000B4B23" w:rsidRDefault="009F7472" w:rsidP="005D17B1">
      <w:pPr>
        <w:pStyle w:val="Sinespaciado"/>
        <w:rPr>
          <w:rFonts w:asciiTheme="minorHAnsi" w:hAnsiTheme="minorHAnsi" w:cstheme="minorHAnsi"/>
          <w:sz w:val="22"/>
          <w:szCs w:val="22"/>
        </w:rPr>
      </w:pPr>
      <w:proofErr w:type="spellStart"/>
      <w:r>
        <w:rPr>
          <w:rFonts w:asciiTheme="minorHAnsi" w:hAnsiTheme="minorHAnsi" w:cstheme="minorHAnsi"/>
          <w:sz w:val="22"/>
          <w:szCs w:val="22"/>
        </w:rPr>
        <w:t>xx</w:t>
      </w:r>
      <w:proofErr w:type="spellEnd"/>
      <w:r w:rsidR="009D4ED4">
        <w:rPr>
          <w:rFonts w:asciiTheme="minorHAnsi" w:hAnsiTheme="minorHAnsi" w:cstheme="minorHAnsi"/>
          <w:sz w:val="22"/>
          <w:szCs w:val="22"/>
        </w:rPr>
        <w:t xml:space="preserve"> de </w:t>
      </w:r>
      <w:proofErr w:type="spellStart"/>
      <w:r>
        <w:rPr>
          <w:rFonts w:asciiTheme="minorHAnsi" w:hAnsiTheme="minorHAnsi" w:cstheme="minorHAnsi"/>
          <w:sz w:val="22"/>
          <w:szCs w:val="22"/>
        </w:rPr>
        <w:t>xxxx</w:t>
      </w:r>
      <w:proofErr w:type="spellEnd"/>
      <w:r w:rsidR="009D4ED4">
        <w:rPr>
          <w:rFonts w:asciiTheme="minorHAnsi" w:hAnsiTheme="minorHAnsi" w:cstheme="minorHAnsi"/>
          <w:sz w:val="22"/>
          <w:szCs w:val="22"/>
        </w:rPr>
        <w:t xml:space="preserve"> de 20</w:t>
      </w:r>
      <w:r w:rsidR="00C927D3">
        <w:rPr>
          <w:rFonts w:asciiTheme="minorHAnsi" w:hAnsiTheme="minorHAnsi" w:cstheme="minorHAnsi"/>
          <w:sz w:val="22"/>
          <w:szCs w:val="22"/>
        </w:rPr>
        <w:t>2</w:t>
      </w:r>
      <w:r>
        <w:rPr>
          <w:rFonts w:asciiTheme="minorHAnsi" w:hAnsiTheme="minorHAnsi" w:cstheme="minorHAnsi"/>
          <w:sz w:val="22"/>
          <w:szCs w:val="22"/>
        </w:rPr>
        <w:t>4</w:t>
      </w:r>
      <w:r w:rsidR="009D4ED4" w:rsidRPr="000B4B23">
        <w:rPr>
          <w:rFonts w:asciiTheme="minorHAnsi" w:hAnsiTheme="minorHAnsi" w:cstheme="minorHAnsi"/>
          <w:sz w:val="22"/>
          <w:szCs w:val="22"/>
        </w:rPr>
        <w:t xml:space="preserve"> </w:t>
      </w:r>
    </w:p>
    <w:p w14:paraId="54449127" w14:textId="77777777" w:rsidR="00380F06" w:rsidRPr="000B4B23" w:rsidRDefault="00380F06" w:rsidP="005D17B1">
      <w:pPr>
        <w:pStyle w:val="Sinespaciado"/>
        <w:rPr>
          <w:rFonts w:asciiTheme="minorHAnsi" w:hAnsiTheme="minorHAnsi" w:cstheme="minorHAnsi"/>
          <w:sz w:val="22"/>
          <w:szCs w:val="22"/>
        </w:rPr>
      </w:pPr>
    </w:p>
    <w:p w14:paraId="69DD4E7A" w14:textId="32DC6DB7" w:rsidR="004E52E6" w:rsidRDefault="00C927D3" w:rsidP="005D17B1">
      <w:pPr>
        <w:pStyle w:val="Sinespaciado"/>
        <w:rPr>
          <w:rFonts w:asciiTheme="minorHAnsi" w:hAnsiTheme="minorHAnsi" w:cstheme="minorHAnsi"/>
          <w:sz w:val="22"/>
          <w:szCs w:val="22"/>
        </w:rPr>
      </w:pPr>
      <w:r>
        <w:rPr>
          <w:rFonts w:asciiTheme="minorHAnsi" w:hAnsiTheme="minorHAnsi" w:cstheme="minorHAnsi"/>
          <w:bCs/>
          <w:sz w:val="22"/>
          <w:szCs w:val="22"/>
        </w:rPr>
        <w:t>D.</w:t>
      </w:r>
      <w:r w:rsidR="00261918">
        <w:rPr>
          <w:rFonts w:asciiTheme="minorHAnsi" w:hAnsiTheme="minorHAnsi" w:cstheme="minorHAnsi"/>
          <w:bCs/>
          <w:sz w:val="22"/>
          <w:szCs w:val="22"/>
        </w:rPr>
        <w:t xml:space="preserve">               </w:t>
      </w:r>
      <w:r>
        <w:rPr>
          <w:rFonts w:asciiTheme="minorHAnsi" w:hAnsiTheme="minorHAnsi" w:cstheme="minorHAnsi"/>
          <w:bCs/>
          <w:sz w:val="22"/>
          <w:szCs w:val="22"/>
        </w:rPr>
        <w:t>, provisto de</w:t>
      </w:r>
      <w:r w:rsidRPr="00C927D3">
        <w:rPr>
          <w:rFonts w:asciiTheme="minorHAnsi" w:hAnsiTheme="minorHAnsi" w:cstheme="minorHAnsi"/>
          <w:bCs/>
          <w:sz w:val="22"/>
          <w:szCs w:val="22"/>
        </w:rPr>
        <w:t xml:space="preserve"> NIF</w:t>
      </w:r>
      <w:r w:rsidR="00261918">
        <w:rPr>
          <w:rFonts w:asciiTheme="minorHAnsi" w:hAnsiTheme="minorHAnsi" w:cstheme="minorHAnsi"/>
          <w:bCs/>
          <w:sz w:val="22"/>
          <w:szCs w:val="22"/>
        </w:rPr>
        <w:t xml:space="preserve">            </w:t>
      </w:r>
      <w:r w:rsidRPr="00C927D3">
        <w:rPr>
          <w:rFonts w:asciiTheme="minorHAnsi" w:hAnsiTheme="minorHAnsi" w:cstheme="minorHAnsi"/>
          <w:bCs/>
          <w:sz w:val="22"/>
          <w:szCs w:val="22"/>
        </w:rPr>
        <w:t xml:space="preserve">  y </w:t>
      </w:r>
      <w:r>
        <w:rPr>
          <w:rFonts w:asciiTheme="minorHAnsi" w:hAnsiTheme="minorHAnsi" w:cstheme="minorHAnsi"/>
          <w:bCs/>
          <w:sz w:val="22"/>
          <w:szCs w:val="22"/>
        </w:rPr>
        <w:t>Dña.</w:t>
      </w:r>
      <w:r w:rsidR="00261918">
        <w:rPr>
          <w:rFonts w:asciiTheme="minorHAnsi" w:hAnsiTheme="minorHAnsi" w:cstheme="minorHAnsi"/>
          <w:bCs/>
          <w:sz w:val="22"/>
          <w:szCs w:val="22"/>
        </w:rPr>
        <w:t xml:space="preserve">               </w:t>
      </w:r>
      <w:r>
        <w:rPr>
          <w:rFonts w:asciiTheme="minorHAnsi" w:hAnsiTheme="minorHAnsi" w:cstheme="minorHAnsi"/>
          <w:bCs/>
          <w:sz w:val="22"/>
          <w:szCs w:val="22"/>
        </w:rPr>
        <w:t xml:space="preserve">, provista de </w:t>
      </w:r>
      <w:r w:rsidRPr="00C927D3">
        <w:rPr>
          <w:rFonts w:asciiTheme="minorHAnsi" w:hAnsiTheme="minorHAnsi" w:cstheme="minorHAnsi"/>
          <w:bCs/>
          <w:sz w:val="22"/>
          <w:szCs w:val="22"/>
        </w:rPr>
        <w:t>NIF</w:t>
      </w:r>
      <w:r w:rsidR="00261918">
        <w:rPr>
          <w:rFonts w:asciiTheme="minorHAnsi" w:hAnsiTheme="minorHAnsi" w:cstheme="minorHAnsi"/>
          <w:bCs/>
          <w:sz w:val="22"/>
          <w:szCs w:val="22"/>
        </w:rPr>
        <w:t xml:space="preserve">                </w:t>
      </w:r>
      <w:r w:rsidRPr="00C927D3">
        <w:rPr>
          <w:rFonts w:asciiTheme="minorHAnsi" w:hAnsiTheme="minorHAnsi" w:cstheme="minorHAnsi"/>
          <w:bCs/>
          <w:sz w:val="22"/>
          <w:szCs w:val="22"/>
        </w:rPr>
        <w:t>, cónyuges,</w:t>
      </w:r>
      <w:r>
        <w:rPr>
          <w:rFonts w:asciiTheme="minorHAnsi" w:hAnsiTheme="minorHAnsi" w:cstheme="minorHAnsi"/>
          <w:bCs/>
          <w:sz w:val="22"/>
          <w:szCs w:val="22"/>
        </w:rPr>
        <w:t xml:space="preserve"> ambos</w:t>
      </w:r>
      <w:r w:rsidRPr="00C927D3">
        <w:rPr>
          <w:rFonts w:asciiTheme="minorHAnsi" w:hAnsiTheme="minorHAnsi" w:cstheme="minorHAnsi"/>
          <w:bCs/>
          <w:sz w:val="22"/>
          <w:szCs w:val="22"/>
        </w:rPr>
        <w:t xml:space="preserve"> con domicilio en </w:t>
      </w:r>
      <w:proofErr w:type="spellStart"/>
      <w:r w:rsidR="00123E9B">
        <w:rPr>
          <w:rFonts w:asciiTheme="minorHAnsi" w:hAnsiTheme="minorHAnsi" w:cstheme="minorHAnsi"/>
          <w:bCs/>
          <w:sz w:val="22"/>
          <w:szCs w:val="22"/>
        </w:rPr>
        <w:t>xxxxxxxxx</w:t>
      </w:r>
      <w:proofErr w:type="spellEnd"/>
      <w:r w:rsidRPr="00C927D3">
        <w:rPr>
          <w:rFonts w:asciiTheme="minorHAnsi" w:hAnsiTheme="minorHAnsi" w:cstheme="minorHAnsi"/>
          <w:bCs/>
          <w:sz w:val="22"/>
          <w:szCs w:val="22"/>
        </w:rPr>
        <w:t>, calle</w:t>
      </w:r>
      <w:r w:rsidR="00261918">
        <w:rPr>
          <w:rFonts w:asciiTheme="minorHAnsi" w:hAnsiTheme="minorHAnsi" w:cstheme="minorHAnsi"/>
          <w:bCs/>
          <w:sz w:val="22"/>
          <w:szCs w:val="22"/>
        </w:rPr>
        <w:t xml:space="preserve">                  </w:t>
      </w:r>
      <w:r w:rsidR="007E3758">
        <w:rPr>
          <w:rFonts w:asciiTheme="minorHAnsi" w:hAnsiTheme="minorHAnsi" w:cstheme="minorHAnsi"/>
          <w:bCs/>
          <w:sz w:val="22"/>
          <w:szCs w:val="22"/>
        </w:rPr>
        <w:t xml:space="preserve">, clientes de esta entidad, </w:t>
      </w:r>
      <w:r w:rsidR="004E52E6" w:rsidRPr="0009608A">
        <w:rPr>
          <w:rFonts w:asciiTheme="minorHAnsi" w:hAnsiTheme="minorHAnsi" w:cstheme="minorHAnsi"/>
          <w:sz w:val="22"/>
          <w:szCs w:val="22"/>
        </w:rPr>
        <w:t>por la presente comparecemos ante el Servicio de Atención al Cliente (S.A.C.) y</w:t>
      </w:r>
      <w:r w:rsidR="00F84CC4">
        <w:rPr>
          <w:rFonts w:asciiTheme="minorHAnsi" w:hAnsiTheme="minorHAnsi" w:cstheme="minorHAnsi"/>
          <w:sz w:val="22"/>
          <w:szCs w:val="22"/>
        </w:rPr>
        <w:t xml:space="preserve"> </w:t>
      </w:r>
      <w:r w:rsidR="004E52E6" w:rsidRPr="0009608A">
        <w:rPr>
          <w:rFonts w:asciiTheme="minorHAnsi" w:hAnsiTheme="minorHAnsi" w:cstheme="minorHAnsi"/>
          <w:sz w:val="22"/>
          <w:szCs w:val="22"/>
        </w:rPr>
        <w:t>DECIMOS:</w:t>
      </w:r>
    </w:p>
    <w:p w14:paraId="23AA31A9" w14:textId="77777777" w:rsidR="00F84CC4" w:rsidRPr="0009608A" w:rsidRDefault="00F84CC4" w:rsidP="005D17B1">
      <w:pPr>
        <w:pStyle w:val="Sinespaciado"/>
        <w:rPr>
          <w:rFonts w:asciiTheme="minorHAnsi" w:hAnsiTheme="minorHAnsi" w:cstheme="minorHAnsi"/>
          <w:sz w:val="22"/>
          <w:szCs w:val="22"/>
        </w:rPr>
      </w:pPr>
    </w:p>
    <w:p w14:paraId="615EA123" w14:textId="77777777" w:rsidR="005D17B1" w:rsidRDefault="00761C43" w:rsidP="005D17B1">
      <w:pPr>
        <w:pStyle w:val="Sinespaciado"/>
        <w:rPr>
          <w:rFonts w:asciiTheme="minorHAnsi" w:hAnsiTheme="minorHAnsi" w:cstheme="minorHAnsi"/>
          <w:bCs/>
          <w:sz w:val="22"/>
          <w:szCs w:val="22"/>
        </w:rPr>
      </w:pPr>
      <w:r w:rsidRPr="00761C43">
        <w:rPr>
          <w:rFonts w:asciiTheme="minorHAnsi" w:hAnsiTheme="minorHAnsi" w:cstheme="minorHAnsi"/>
          <w:bCs/>
          <w:sz w:val="22"/>
          <w:szCs w:val="22"/>
        </w:rPr>
        <w:t>PRIMERO.- Por medio del presente escrito venimos a realizar requerimiento de devolución de gastos de hipoteca. </w:t>
      </w:r>
    </w:p>
    <w:p w14:paraId="5049C067" w14:textId="0658B6E7" w:rsidR="00761C43" w:rsidRPr="00761C43" w:rsidRDefault="00761C43" w:rsidP="005D17B1">
      <w:pPr>
        <w:pStyle w:val="Sinespaciado"/>
        <w:rPr>
          <w:rFonts w:asciiTheme="minorHAnsi" w:hAnsiTheme="minorHAnsi" w:cstheme="minorHAnsi"/>
          <w:bCs/>
          <w:sz w:val="22"/>
          <w:szCs w:val="22"/>
        </w:rPr>
      </w:pPr>
      <w:r w:rsidRPr="00761C43">
        <w:rPr>
          <w:rFonts w:asciiTheme="minorHAnsi" w:hAnsiTheme="minorHAnsi" w:cstheme="minorHAnsi"/>
          <w:bCs/>
          <w:sz w:val="22"/>
          <w:szCs w:val="22"/>
        </w:rPr>
        <w:t>Solicitamos la devolución de las cantidades abonadas en aplicación de la cláusula abusiva que obra en la escritura de préstamo hipotecario contratado con esa entidad, por la que se atribuyen todos los gastos, tributos y comisiones derivados de la concertación y desarrollo del contrato de hipoteca a los hipotecados.</w:t>
      </w:r>
    </w:p>
    <w:p w14:paraId="38671B17" w14:textId="424CB049" w:rsidR="00761C43" w:rsidRPr="00761C43" w:rsidRDefault="00761C43" w:rsidP="005D17B1">
      <w:pPr>
        <w:pStyle w:val="Sinespaciado"/>
        <w:rPr>
          <w:rFonts w:asciiTheme="minorHAnsi" w:hAnsiTheme="minorHAnsi" w:cstheme="minorHAnsi"/>
          <w:bCs/>
          <w:sz w:val="22"/>
          <w:szCs w:val="22"/>
        </w:rPr>
      </w:pPr>
      <w:r w:rsidRPr="00761C43">
        <w:rPr>
          <w:rFonts w:asciiTheme="minorHAnsi" w:hAnsiTheme="minorHAnsi" w:cstheme="minorHAnsi"/>
          <w:bCs/>
          <w:sz w:val="22"/>
          <w:szCs w:val="22"/>
        </w:rPr>
        <w:t>El Tribunal Supremo dictó </w:t>
      </w:r>
      <w:hyperlink r:id="rId5" w:history="1">
        <w:r w:rsidRPr="00761C43">
          <w:rPr>
            <w:rFonts w:asciiTheme="minorHAnsi" w:hAnsiTheme="minorHAnsi" w:cstheme="minorHAnsi"/>
            <w:bCs/>
            <w:sz w:val="22"/>
            <w:szCs w:val="22"/>
          </w:rPr>
          <w:t>4 sentencias en enero del 2019</w:t>
        </w:r>
      </w:hyperlink>
      <w:r w:rsidRPr="00761C43">
        <w:rPr>
          <w:rFonts w:asciiTheme="minorHAnsi" w:hAnsiTheme="minorHAnsi" w:cstheme="minorHAnsi"/>
          <w:bCs/>
          <w:sz w:val="22"/>
          <w:szCs w:val="22"/>
        </w:rPr>
        <w:t>; </w:t>
      </w:r>
      <w:hyperlink r:id="rId6" w:history="1">
        <w:r w:rsidRPr="00761C43">
          <w:rPr>
            <w:rFonts w:asciiTheme="minorHAnsi" w:hAnsiTheme="minorHAnsi" w:cstheme="minorHAnsi"/>
            <w:bCs/>
            <w:sz w:val="22"/>
            <w:szCs w:val="22"/>
          </w:rPr>
          <w:t xml:space="preserve">a la que se suma la sentencia del </w:t>
        </w:r>
        <w:r w:rsidR="0002577F">
          <w:rPr>
            <w:rFonts w:asciiTheme="minorHAnsi" w:hAnsiTheme="minorHAnsi" w:cstheme="minorHAnsi"/>
            <w:bCs/>
            <w:sz w:val="22"/>
            <w:szCs w:val="22"/>
          </w:rPr>
          <w:t>T</w:t>
        </w:r>
        <w:r w:rsidRPr="00761C43">
          <w:rPr>
            <w:rFonts w:asciiTheme="minorHAnsi" w:hAnsiTheme="minorHAnsi" w:cstheme="minorHAnsi"/>
            <w:bCs/>
            <w:sz w:val="22"/>
            <w:szCs w:val="22"/>
          </w:rPr>
          <w:t>ribunal Supremo que fija doctrina</w:t>
        </w:r>
      </w:hyperlink>
      <w:r w:rsidRPr="00761C43">
        <w:rPr>
          <w:rFonts w:asciiTheme="minorHAnsi" w:hAnsiTheme="minorHAnsi" w:cstheme="minorHAnsi"/>
          <w:bCs/>
          <w:sz w:val="22"/>
          <w:szCs w:val="22"/>
        </w:rPr>
        <w:t xml:space="preserve">; y </w:t>
      </w:r>
      <w:r w:rsidR="005D17B1">
        <w:rPr>
          <w:rFonts w:asciiTheme="minorHAnsi" w:hAnsiTheme="minorHAnsi" w:cstheme="minorHAnsi"/>
          <w:bCs/>
          <w:sz w:val="22"/>
          <w:szCs w:val="22"/>
        </w:rPr>
        <w:t>l</w:t>
      </w:r>
      <w:r w:rsidRPr="00761C43">
        <w:rPr>
          <w:rFonts w:asciiTheme="minorHAnsi" w:hAnsiTheme="minorHAnsi" w:cstheme="minorHAnsi"/>
          <w:bCs/>
          <w:sz w:val="22"/>
          <w:szCs w:val="22"/>
        </w:rPr>
        <w:t>a del Tribunal Europeo del 16 de julio de 2020; pronunciándose en cuanto al reparto de gastos en los préstamos hipotecarios.</w:t>
      </w:r>
    </w:p>
    <w:p w14:paraId="66871BDE" w14:textId="77777777" w:rsidR="00761C43" w:rsidRPr="00761C43" w:rsidRDefault="00761C43" w:rsidP="005D17B1">
      <w:pPr>
        <w:pStyle w:val="Sinespaciado"/>
        <w:rPr>
          <w:rFonts w:asciiTheme="minorHAnsi" w:hAnsiTheme="minorHAnsi" w:cstheme="minorHAnsi"/>
          <w:bCs/>
          <w:sz w:val="22"/>
          <w:szCs w:val="22"/>
        </w:rPr>
      </w:pPr>
      <w:r w:rsidRPr="00761C43">
        <w:rPr>
          <w:rFonts w:asciiTheme="minorHAnsi" w:hAnsiTheme="minorHAnsi" w:cstheme="minorHAnsi"/>
          <w:bCs/>
          <w:sz w:val="22"/>
          <w:szCs w:val="22"/>
        </w:rPr>
        <w:t>El Tribunal Europeo, posteriormente, establece que la totalidad de los gastos de notario, registro, tasación y gestoría deben ser asumidos por el banco y no soportados por el cliente.</w:t>
      </w:r>
    </w:p>
    <w:p w14:paraId="6E19FE75" w14:textId="77777777" w:rsidR="00123E9B" w:rsidRDefault="00123E9B" w:rsidP="005D17B1">
      <w:pPr>
        <w:pStyle w:val="Sinespaciado"/>
      </w:pPr>
    </w:p>
    <w:p w14:paraId="6844FDAB" w14:textId="6F39FCDD" w:rsidR="00761C43" w:rsidRDefault="00000000" w:rsidP="005D17B1">
      <w:pPr>
        <w:pStyle w:val="Sinespaciado"/>
        <w:rPr>
          <w:rFonts w:asciiTheme="minorHAnsi" w:hAnsiTheme="minorHAnsi" w:cstheme="minorHAnsi"/>
          <w:bCs/>
          <w:sz w:val="22"/>
          <w:szCs w:val="22"/>
        </w:rPr>
      </w:pPr>
      <w:hyperlink r:id="rId7" w:tgtFrame="_blank" w:history="1">
        <w:r w:rsidR="00761C43" w:rsidRPr="00761C43">
          <w:rPr>
            <w:rFonts w:asciiTheme="minorHAnsi" w:hAnsiTheme="minorHAnsi" w:cstheme="minorHAnsi"/>
            <w:bCs/>
            <w:sz w:val="22"/>
            <w:szCs w:val="22"/>
          </w:rPr>
          <w:t xml:space="preserve">El Tribunal Europeo sentenció igualmente en relación a la comisión de apertura que </w:t>
        </w:r>
        <w:r w:rsidR="00123E9B">
          <w:rPr>
            <w:rFonts w:asciiTheme="minorHAnsi" w:hAnsiTheme="minorHAnsi" w:cstheme="minorHAnsi"/>
            <w:bCs/>
            <w:sz w:val="22"/>
            <w:szCs w:val="22"/>
          </w:rPr>
          <w:t>é</w:t>
        </w:r>
        <w:r w:rsidR="00761C43" w:rsidRPr="00761C43">
          <w:rPr>
            <w:rFonts w:asciiTheme="minorHAnsi" w:hAnsiTheme="minorHAnsi" w:cstheme="minorHAnsi"/>
            <w:bCs/>
            <w:sz w:val="22"/>
            <w:szCs w:val="22"/>
          </w:rPr>
          <w:t>sta sería abusiva</w:t>
        </w:r>
        <w:r w:rsidR="00123E9B">
          <w:rPr>
            <w:rFonts w:asciiTheme="minorHAnsi" w:hAnsiTheme="minorHAnsi" w:cstheme="minorHAnsi"/>
            <w:bCs/>
            <w:sz w:val="22"/>
            <w:szCs w:val="22"/>
          </w:rPr>
          <w:t>,</w:t>
        </w:r>
        <w:r w:rsidR="00761C43" w:rsidRPr="00761C43">
          <w:rPr>
            <w:rFonts w:asciiTheme="minorHAnsi" w:hAnsiTheme="minorHAnsi" w:cstheme="minorHAnsi"/>
            <w:bCs/>
            <w:sz w:val="22"/>
            <w:szCs w:val="22"/>
          </w:rPr>
          <w:t xml:space="preserve"> cuando la entidad no pueda demostrar que se corresponde a servicios efectivamente prestados.</w:t>
        </w:r>
      </w:hyperlink>
    </w:p>
    <w:p w14:paraId="79B97CCF" w14:textId="77777777" w:rsidR="00123E9B" w:rsidRPr="00761C43" w:rsidRDefault="00123E9B" w:rsidP="005D17B1">
      <w:pPr>
        <w:pStyle w:val="Sinespaciado"/>
        <w:rPr>
          <w:rFonts w:asciiTheme="minorHAnsi" w:hAnsiTheme="minorHAnsi" w:cstheme="minorHAnsi"/>
          <w:bCs/>
          <w:sz w:val="22"/>
          <w:szCs w:val="22"/>
        </w:rPr>
      </w:pPr>
    </w:p>
    <w:p w14:paraId="39C48A26" w14:textId="77777777" w:rsidR="00761C43" w:rsidRPr="00761C43" w:rsidRDefault="00761C43" w:rsidP="005D17B1">
      <w:pPr>
        <w:pStyle w:val="Sinespaciado"/>
        <w:rPr>
          <w:rFonts w:asciiTheme="minorHAnsi" w:hAnsiTheme="minorHAnsi" w:cstheme="minorHAnsi"/>
          <w:bCs/>
          <w:sz w:val="22"/>
          <w:szCs w:val="22"/>
        </w:rPr>
      </w:pPr>
      <w:r w:rsidRPr="00761C43">
        <w:rPr>
          <w:rFonts w:asciiTheme="minorHAnsi" w:hAnsiTheme="minorHAnsi" w:cstheme="minorHAnsi"/>
          <w:bCs/>
          <w:sz w:val="22"/>
          <w:szCs w:val="22"/>
        </w:rPr>
        <w:t>SEGUNDO.- A continuación se indican los antecedentes y fundamentación que sostienen dicha reclamación:</w:t>
      </w:r>
    </w:p>
    <w:p w14:paraId="2C31BA2B" w14:textId="77777777" w:rsidR="00E16C4C" w:rsidRDefault="00E16C4C" w:rsidP="005D17B1">
      <w:pPr>
        <w:pStyle w:val="Sinespaciado"/>
        <w:rPr>
          <w:rFonts w:asciiTheme="minorHAnsi" w:hAnsiTheme="minorHAnsi" w:cstheme="minorHAnsi"/>
          <w:bCs/>
          <w:sz w:val="22"/>
          <w:szCs w:val="22"/>
        </w:rPr>
      </w:pPr>
    </w:p>
    <w:p w14:paraId="55BABF4F" w14:textId="4C1ACAB3" w:rsidR="00EA00CB" w:rsidRDefault="004159A5" w:rsidP="00B34058">
      <w:pPr>
        <w:pStyle w:val="Sinespaciado"/>
        <w:numPr>
          <w:ilvl w:val="0"/>
          <w:numId w:val="11"/>
        </w:numPr>
        <w:rPr>
          <w:rFonts w:asciiTheme="minorHAnsi" w:hAnsiTheme="minorHAnsi" w:cstheme="minorHAnsi"/>
          <w:bCs/>
          <w:sz w:val="22"/>
          <w:szCs w:val="22"/>
        </w:rPr>
      </w:pPr>
      <w:r w:rsidRPr="009F7472">
        <w:rPr>
          <w:rFonts w:asciiTheme="minorHAnsi" w:hAnsiTheme="minorHAnsi" w:cstheme="minorHAnsi"/>
          <w:bCs/>
          <w:sz w:val="22"/>
          <w:szCs w:val="22"/>
        </w:rPr>
        <w:t>En fecha</w:t>
      </w:r>
      <w:r w:rsidR="00261918" w:rsidRPr="009F7472">
        <w:rPr>
          <w:rFonts w:asciiTheme="minorHAnsi" w:hAnsiTheme="minorHAnsi" w:cstheme="minorHAnsi"/>
          <w:bCs/>
          <w:sz w:val="22"/>
          <w:szCs w:val="22"/>
        </w:rPr>
        <w:t xml:space="preserve">           </w:t>
      </w:r>
      <w:r w:rsidRPr="009F7472">
        <w:rPr>
          <w:rFonts w:asciiTheme="minorHAnsi" w:hAnsiTheme="minorHAnsi" w:cstheme="minorHAnsi"/>
          <w:bCs/>
          <w:sz w:val="22"/>
          <w:szCs w:val="22"/>
        </w:rPr>
        <w:t>, formalizamos con esa entidad préstamo con garantía hipotecaria número</w:t>
      </w:r>
      <w:r w:rsidR="00261918" w:rsidRPr="009F7472">
        <w:rPr>
          <w:rFonts w:asciiTheme="minorHAnsi" w:hAnsiTheme="minorHAnsi" w:cstheme="minorHAnsi"/>
          <w:bCs/>
          <w:sz w:val="22"/>
          <w:szCs w:val="22"/>
        </w:rPr>
        <w:t xml:space="preserve">                                               </w:t>
      </w:r>
      <w:r w:rsidRPr="009F7472">
        <w:rPr>
          <w:rFonts w:asciiTheme="minorHAnsi" w:hAnsiTheme="minorHAnsi" w:cstheme="minorHAnsi"/>
          <w:bCs/>
          <w:sz w:val="22"/>
          <w:szCs w:val="22"/>
        </w:rPr>
        <w:t xml:space="preserve">, mediante escritura pública otorgada ante el Notario de </w:t>
      </w:r>
      <w:proofErr w:type="spellStart"/>
      <w:r w:rsidR="00123E9B">
        <w:rPr>
          <w:rFonts w:asciiTheme="minorHAnsi" w:hAnsiTheme="minorHAnsi" w:cstheme="minorHAnsi"/>
          <w:bCs/>
          <w:sz w:val="22"/>
          <w:szCs w:val="22"/>
        </w:rPr>
        <w:t>xxxxxxxx</w:t>
      </w:r>
      <w:proofErr w:type="spellEnd"/>
      <w:r w:rsidRPr="009F7472">
        <w:rPr>
          <w:rFonts w:asciiTheme="minorHAnsi" w:hAnsiTheme="minorHAnsi" w:cstheme="minorHAnsi"/>
          <w:bCs/>
          <w:sz w:val="22"/>
          <w:szCs w:val="22"/>
        </w:rPr>
        <w:t xml:space="preserve">, D. </w:t>
      </w:r>
      <w:r w:rsidR="00261918" w:rsidRPr="009F7472">
        <w:rPr>
          <w:rFonts w:asciiTheme="minorHAnsi" w:hAnsiTheme="minorHAnsi" w:cstheme="minorHAnsi"/>
          <w:bCs/>
          <w:sz w:val="22"/>
          <w:szCs w:val="22"/>
        </w:rPr>
        <w:t xml:space="preserve"> </w:t>
      </w:r>
      <w:r w:rsidRPr="009F7472">
        <w:rPr>
          <w:rFonts w:asciiTheme="minorHAnsi" w:hAnsiTheme="minorHAnsi" w:cstheme="minorHAnsi"/>
          <w:bCs/>
          <w:sz w:val="22"/>
          <w:szCs w:val="22"/>
        </w:rPr>
        <w:t xml:space="preserve">, protocolo </w:t>
      </w:r>
      <w:r w:rsidR="00261918" w:rsidRPr="009F7472">
        <w:rPr>
          <w:rFonts w:asciiTheme="minorHAnsi" w:hAnsiTheme="minorHAnsi" w:cstheme="minorHAnsi"/>
          <w:bCs/>
          <w:sz w:val="22"/>
          <w:szCs w:val="22"/>
        </w:rPr>
        <w:t xml:space="preserve">     </w:t>
      </w:r>
      <w:r w:rsidRPr="009F7472">
        <w:rPr>
          <w:rFonts w:asciiTheme="minorHAnsi" w:hAnsiTheme="minorHAnsi" w:cstheme="minorHAnsi"/>
          <w:bCs/>
          <w:sz w:val="22"/>
          <w:szCs w:val="22"/>
        </w:rPr>
        <w:t xml:space="preserve">y cuyos pagos se vienen realizando contra nuestra cuenta corriente </w:t>
      </w:r>
      <w:proofErr w:type="spellStart"/>
      <w:r w:rsidR="009F7472">
        <w:rPr>
          <w:rFonts w:asciiTheme="minorHAnsi" w:hAnsiTheme="minorHAnsi" w:cstheme="minorHAnsi"/>
          <w:bCs/>
          <w:sz w:val="22"/>
          <w:szCs w:val="22"/>
        </w:rPr>
        <w:t>xxxxx</w:t>
      </w:r>
      <w:proofErr w:type="spellEnd"/>
    </w:p>
    <w:p w14:paraId="416115C4" w14:textId="77777777" w:rsidR="009F7472" w:rsidRPr="009F7472" w:rsidRDefault="009F7472" w:rsidP="009F7472">
      <w:pPr>
        <w:pStyle w:val="Sinespaciado"/>
        <w:ind w:left="720"/>
        <w:rPr>
          <w:rFonts w:asciiTheme="minorHAnsi" w:hAnsiTheme="minorHAnsi" w:cstheme="minorHAnsi"/>
          <w:bCs/>
          <w:sz w:val="22"/>
          <w:szCs w:val="22"/>
        </w:rPr>
      </w:pPr>
    </w:p>
    <w:p w14:paraId="24E421FB" w14:textId="223FC5C7" w:rsidR="0017070D" w:rsidRDefault="00761C43" w:rsidP="005D17B1">
      <w:pPr>
        <w:pStyle w:val="Sinespaciado"/>
        <w:numPr>
          <w:ilvl w:val="0"/>
          <w:numId w:val="11"/>
        </w:numPr>
        <w:rPr>
          <w:rFonts w:asciiTheme="minorHAnsi" w:hAnsiTheme="minorHAnsi" w:cstheme="minorHAnsi"/>
          <w:bCs/>
          <w:sz w:val="22"/>
          <w:szCs w:val="22"/>
        </w:rPr>
      </w:pPr>
      <w:r w:rsidRPr="005D17B1">
        <w:rPr>
          <w:rFonts w:asciiTheme="minorHAnsi" w:hAnsiTheme="minorHAnsi" w:cstheme="minorHAnsi"/>
          <w:bCs/>
          <w:sz w:val="22"/>
          <w:szCs w:val="22"/>
        </w:rPr>
        <w:t xml:space="preserve">En dicha escritura, concretamente en </w:t>
      </w:r>
      <w:r w:rsidR="00EA00CB" w:rsidRPr="005D17B1">
        <w:rPr>
          <w:rFonts w:asciiTheme="minorHAnsi" w:hAnsiTheme="minorHAnsi" w:cstheme="minorHAnsi"/>
          <w:bCs/>
          <w:sz w:val="22"/>
          <w:szCs w:val="22"/>
        </w:rPr>
        <w:t xml:space="preserve">el pacto </w:t>
      </w:r>
      <w:proofErr w:type="spellStart"/>
      <w:r w:rsidR="00123E9B">
        <w:rPr>
          <w:rFonts w:asciiTheme="minorHAnsi" w:hAnsiTheme="minorHAnsi" w:cstheme="minorHAnsi"/>
          <w:bCs/>
          <w:sz w:val="22"/>
          <w:szCs w:val="22"/>
        </w:rPr>
        <w:t>xxxxxxxx</w:t>
      </w:r>
      <w:proofErr w:type="spellEnd"/>
      <w:r w:rsidR="00EA00CB" w:rsidRPr="005D17B1">
        <w:rPr>
          <w:rFonts w:asciiTheme="minorHAnsi" w:hAnsiTheme="minorHAnsi" w:cstheme="minorHAnsi"/>
          <w:bCs/>
          <w:sz w:val="22"/>
          <w:szCs w:val="22"/>
        </w:rPr>
        <w:t xml:space="preserve">, </w:t>
      </w:r>
      <w:r w:rsidR="00BD3C9A" w:rsidRPr="005D17B1">
        <w:rPr>
          <w:rFonts w:asciiTheme="minorHAnsi" w:hAnsiTheme="minorHAnsi" w:cstheme="minorHAnsi"/>
          <w:bCs/>
          <w:sz w:val="22"/>
          <w:szCs w:val="22"/>
        </w:rPr>
        <w:t>se establece</w:t>
      </w:r>
      <w:r w:rsidR="00EA00CB" w:rsidRPr="005D17B1">
        <w:rPr>
          <w:rFonts w:asciiTheme="minorHAnsi" w:hAnsiTheme="minorHAnsi" w:cstheme="minorHAnsi"/>
          <w:bCs/>
          <w:sz w:val="22"/>
          <w:szCs w:val="22"/>
        </w:rPr>
        <w:t xml:space="preserve">: </w:t>
      </w:r>
      <w:r w:rsidR="00097C3A">
        <w:rPr>
          <w:rFonts w:asciiTheme="minorHAnsi" w:hAnsiTheme="minorHAnsi" w:cstheme="minorHAnsi"/>
          <w:bCs/>
          <w:sz w:val="22"/>
          <w:szCs w:val="22"/>
        </w:rPr>
        <w:t>(</w:t>
      </w:r>
      <w:r w:rsidR="00123E9B" w:rsidRPr="00097C3A">
        <w:rPr>
          <w:rFonts w:asciiTheme="minorHAnsi" w:hAnsiTheme="minorHAnsi" w:cstheme="minorHAnsi"/>
          <w:b/>
          <w:i/>
          <w:iCs/>
          <w:color w:val="FF0000"/>
          <w:sz w:val="22"/>
          <w:szCs w:val="22"/>
        </w:rPr>
        <w:t xml:space="preserve">aquí hay que copiar </w:t>
      </w:r>
      <w:r w:rsidR="00097C3A" w:rsidRPr="00097C3A">
        <w:rPr>
          <w:rFonts w:asciiTheme="minorHAnsi" w:hAnsiTheme="minorHAnsi" w:cstheme="minorHAnsi"/>
          <w:b/>
          <w:i/>
          <w:iCs/>
          <w:color w:val="FF0000"/>
          <w:sz w:val="22"/>
          <w:szCs w:val="22"/>
        </w:rPr>
        <w:t>lo que estipule tu hipoteca</w:t>
      </w:r>
      <w:r w:rsidR="00097C3A">
        <w:rPr>
          <w:rFonts w:asciiTheme="minorHAnsi" w:hAnsiTheme="minorHAnsi" w:cstheme="minorHAnsi"/>
          <w:b/>
          <w:i/>
          <w:iCs/>
          <w:color w:val="FF0000"/>
          <w:sz w:val="22"/>
          <w:szCs w:val="22"/>
        </w:rPr>
        <w:t>)</w:t>
      </w:r>
      <w:r w:rsidR="00097C3A" w:rsidRPr="00097C3A">
        <w:rPr>
          <w:rFonts w:asciiTheme="minorHAnsi" w:hAnsiTheme="minorHAnsi" w:cstheme="minorHAnsi"/>
          <w:bCs/>
          <w:color w:val="FF0000"/>
          <w:sz w:val="22"/>
          <w:szCs w:val="22"/>
        </w:rPr>
        <w:t xml:space="preserve"> </w:t>
      </w:r>
      <w:r w:rsidR="00EA00CB" w:rsidRPr="00097C3A">
        <w:rPr>
          <w:rFonts w:asciiTheme="minorHAnsi" w:hAnsiTheme="minorHAnsi" w:cstheme="minorHAnsi"/>
          <w:bCs/>
          <w:sz w:val="22"/>
          <w:szCs w:val="22"/>
        </w:rPr>
        <w:t>“La PARTE ACREDITADA asume el pago de los gastos de tasación del inmueble hipotecado, de todos los demás gastos y tributos derivados de esta escritura, de los actos y contratos que en la misma se formalizan y de su inscripción en el Registro de la Propiedad, y de los originados por cuantos otorgamientos sean precisos para que este documento y el de su cancelación tengan acceso al Registro de la Propiedad incluso los causados por las cartas de pago, total o parcial de los créditos así como los honorarios de letrado y derechos de procurador en caso de reclamación judicial, aunque su intervención no fuera preceptiva.”</w:t>
      </w:r>
      <w:r w:rsidR="00EA00CB" w:rsidRPr="005D17B1">
        <w:rPr>
          <w:rFonts w:asciiTheme="minorHAnsi" w:hAnsiTheme="minorHAnsi" w:cstheme="minorHAnsi"/>
          <w:bCs/>
          <w:sz w:val="22"/>
          <w:szCs w:val="22"/>
        </w:rPr>
        <w:t xml:space="preserve"> </w:t>
      </w:r>
      <w:r w:rsidR="00BD3C9A" w:rsidRPr="005D17B1">
        <w:rPr>
          <w:rFonts w:asciiTheme="minorHAnsi" w:hAnsiTheme="minorHAnsi" w:cstheme="minorHAnsi"/>
          <w:bCs/>
          <w:sz w:val="22"/>
          <w:szCs w:val="22"/>
        </w:rPr>
        <w:t>Dicha</w:t>
      </w:r>
      <w:r w:rsidRPr="005D17B1">
        <w:rPr>
          <w:rFonts w:asciiTheme="minorHAnsi" w:hAnsiTheme="minorHAnsi" w:cstheme="minorHAnsi"/>
          <w:bCs/>
          <w:sz w:val="22"/>
          <w:szCs w:val="22"/>
        </w:rPr>
        <w:t> cláusula me forzó a pagar unilateralmente todos los gastos ocasionados por la constitución del préstamo hipotecario. Por ello debí abonar las minutas correspondientes a Notario y Registro de la Propiedad, los gastos de tasación y gestoría y la comisión de apertura, entre otros.</w:t>
      </w:r>
    </w:p>
    <w:p w14:paraId="5978B7D6" w14:textId="77777777" w:rsidR="0017070D" w:rsidRDefault="0017070D" w:rsidP="0017070D">
      <w:pPr>
        <w:pStyle w:val="Sinespaciado"/>
        <w:rPr>
          <w:rFonts w:asciiTheme="minorHAnsi" w:hAnsiTheme="minorHAnsi" w:cstheme="minorHAnsi"/>
          <w:bCs/>
          <w:sz w:val="22"/>
          <w:szCs w:val="22"/>
        </w:rPr>
      </w:pPr>
    </w:p>
    <w:p w14:paraId="5ADEF142" w14:textId="77777777" w:rsidR="0017070D" w:rsidRDefault="00761C43" w:rsidP="00E257D6">
      <w:pPr>
        <w:pStyle w:val="Sinespaciado"/>
        <w:numPr>
          <w:ilvl w:val="0"/>
          <w:numId w:val="11"/>
        </w:numPr>
        <w:rPr>
          <w:rFonts w:asciiTheme="minorHAnsi" w:hAnsiTheme="minorHAnsi" w:cstheme="minorHAnsi"/>
          <w:bCs/>
          <w:sz w:val="22"/>
          <w:szCs w:val="22"/>
        </w:rPr>
      </w:pPr>
      <w:r w:rsidRPr="00761C43">
        <w:rPr>
          <w:rFonts w:asciiTheme="minorHAnsi" w:hAnsiTheme="minorHAnsi" w:cstheme="minorHAnsi"/>
          <w:bCs/>
          <w:sz w:val="22"/>
          <w:szCs w:val="22"/>
        </w:rPr>
        <w:t>Dicha cláusula no fue negociada individualmente, resultando ser, por tanto, una condición general de la contratación, que no permite distribuir entre las partes los gastos producidos, habiéndoseme atribuido, de manera genérica, la totalidad de los mismos, los que satisfice en su momento.</w:t>
      </w:r>
    </w:p>
    <w:p w14:paraId="35DA5ED3" w14:textId="77777777" w:rsidR="0017070D" w:rsidRDefault="0017070D" w:rsidP="007A08AA">
      <w:pPr>
        <w:pStyle w:val="Sinespaciado"/>
        <w:ind w:left="720"/>
        <w:rPr>
          <w:rFonts w:asciiTheme="minorHAnsi" w:hAnsiTheme="minorHAnsi" w:cstheme="minorHAnsi"/>
          <w:bCs/>
          <w:sz w:val="22"/>
          <w:szCs w:val="22"/>
        </w:rPr>
      </w:pPr>
    </w:p>
    <w:p w14:paraId="05238A18" w14:textId="77777777" w:rsidR="007A08AA" w:rsidRDefault="00761C43" w:rsidP="007B50AB">
      <w:pPr>
        <w:pStyle w:val="Sinespaciado"/>
        <w:numPr>
          <w:ilvl w:val="0"/>
          <w:numId w:val="11"/>
        </w:numPr>
        <w:rPr>
          <w:rFonts w:asciiTheme="minorHAnsi" w:hAnsiTheme="minorHAnsi" w:cstheme="minorHAnsi"/>
          <w:bCs/>
          <w:sz w:val="22"/>
          <w:szCs w:val="22"/>
        </w:rPr>
      </w:pPr>
      <w:r w:rsidRPr="00761C43">
        <w:rPr>
          <w:rFonts w:asciiTheme="minorHAnsi" w:hAnsiTheme="minorHAnsi" w:cstheme="minorHAnsi"/>
          <w:bCs/>
          <w:sz w:val="22"/>
          <w:szCs w:val="22"/>
        </w:rPr>
        <w:lastRenderedPageBreak/>
        <w:t>Ello ha provocado un desequilibrio prohibido por la Ley para la Defensa de los Consumidores y Usuarios para</w:t>
      </w:r>
      <w:r w:rsidR="007A08AA" w:rsidRPr="007A08AA">
        <w:rPr>
          <w:rFonts w:asciiTheme="minorHAnsi" w:hAnsiTheme="minorHAnsi" w:cstheme="minorHAnsi"/>
          <w:bCs/>
          <w:sz w:val="22"/>
          <w:szCs w:val="22"/>
        </w:rPr>
        <w:t xml:space="preserve"> </w:t>
      </w:r>
      <w:r w:rsidRPr="00761C43">
        <w:rPr>
          <w:rFonts w:asciiTheme="minorHAnsi" w:hAnsiTheme="minorHAnsi" w:cstheme="minorHAnsi"/>
          <w:bCs/>
          <w:sz w:val="22"/>
          <w:szCs w:val="22"/>
        </w:rPr>
        <w:t>quien suscribe la presente, y en mi condición de consumidor; lo que implica que dicha cláusula es abusiva, tal y como declar</w:t>
      </w:r>
      <w:r w:rsidR="00FC633E" w:rsidRPr="007A08AA">
        <w:rPr>
          <w:rFonts w:asciiTheme="minorHAnsi" w:hAnsiTheme="minorHAnsi" w:cstheme="minorHAnsi"/>
          <w:bCs/>
          <w:sz w:val="22"/>
          <w:szCs w:val="22"/>
        </w:rPr>
        <w:t>ó</w:t>
      </w:r>
      <w:r w:rsidRPr="00761C43">
        <w:rPr>
          <w:rFonts w:asciiTheme="minorHAnsi" w:hAnsiTheme="minorHAnsi" w:cstheme="minorHAnsi"/>
          <w:bCs/>
          <w:sz w:val="22"/>
          <w:szCs w:val="22"/>
        </w:rPr>
        <w:t xml:space="preserve"> el Tribunal Supremo en su Sentencia 705/2015 de 23 de Diciembre.</w:t>
      </w:r>
    </w:p>
    <w:p w14:paraId="3F756979" w14:textId="77777777" w:rsidR="007A08AA" w:rsidRDefault="007A08AA" w:rsidP="007A08AA">
      <w:pPr>
        <w:pStyle w:val="Sinespaciado"/>
        <w:ind w:left="720"/>
        <w:rPr>
          <w:rFonts w:asciiTheme="minorHAnsi" w:hAnsiTheme="minorHAnsi" w:cstheme="minorHAnsi"/>
          <w:bCs/>
          <w:sz w:val="22"/>
          <w:szCs w:val="22"/>
        </w:rPr>
      </w:pPr>
    </w:p>
    <w:p w14:paraId="315367AB" w14:textId="77777777" w:rsidR="000937B6" w:rsidRDefault="00761C43" w:rsidP="000937B6">
      <w:pPr>
        <w:pStyle w:val="Sinespaciado"/>
        <w:numPr>
          <w:ilvl w:val="0"/>
          <w:numId w:val="11"/>
        </w:numPr>
        <w:rPr>
          <w:rFonts w:asciiTheme="minorHAnsi" w:hAnsiTheme="minorHAnsi" w:cstheme="minorHAnsi"/>
          <w:bCs/>
          <w:sz w:val="22"/>
          <w:szCs w:val="22"/>
        </w:rPr>
      </w:pPr>
      <w:r w:rsidRPr="00761C43">
        <w:rPr>
          <w:rFonts w:asciiTheme="minorHAnsi" w:hAnsiTheme="minorHAnsi" w:cstheme="minorHAnsi"/>
          <w:bCs/>
          <w:sz w:val="22"/>
          <w:szCs w:val="22"/>
        </w:rPr>
        <w:t>La inmediata consecuencia de dicha abusividad, es la nulidad de la cláusula mencionada y transcrita, y por tanto, la restitución de los gastos abonados por la parte prestataria y que tendrían que haber sido pagados por la entidad prestamista.</w:t>
      </w:r>
    </w:p>
    <w:p w14:paraId="3FA3D75B" w14:textId="77777777" w:rsidR="000937B6" w:rsidRDefault="000937B6" w:rsidP="000937B6">
      <w:pPr>
        <w:pStyle w:val="Sinespaciado"/>
        <w:ind w:left="720"/>
        <w:rPr>
          <w:rFonts w:asciiTheme="minorHAnsi" w:hAnsiTheme="minorHAnsi" w:cstheme="minorHAnsi"/>
          <w:bCs/>
          <w:sz w:val="22"/>
          <w:szCs w:val="22"/>
        </w:rPr>
      </w:pPr>
    </w:p>
    <w:p w14:paraId="10EF4347" w14:textId="77777777" w:rsidR="00F92B9C" w:rsidRDefault="00761C43" w:rsidP="0091699B">
      <w:pPr>
        <w:pStyle w:val="Sinespaciado"/>
        <w:numPr>
          <w:ilvl w:val="0"/>
          <w:numId w:val="11"/>
        </w:numPr>
        <w:rPr>
          <w:rFonts w:asciiTheme="minorHAnsi" w:hAnsiTheme="minorHAnsi" w:cstheme="minorHAnsi"/>
          <w:bCs/>
          <w:sz w:val="22"/>
          <w:szCs w:val="22"/>
        </w:rPr>
      </w:pPr>
      <w:r w:rsidRPr="00761C43">
        <w:rPr>
          <w:rFonts w:asciiTheme="minorHAnsi" w:hAnsiTheme="minorHAnsi" w:cstheme="minorHAnsi"/>
          <w:bCs/>
          <w:sz w:val="22"/>
          <w:szCs w:val="22"/>
        </w:rPr>
        <w:t>El Tribunal Europeo </w:t>
      </w:r>
      <w:r w:rsidR="000E3C43" w:rsidRPr="000937B6">
        <w:rPr>
          <w:rFonts w:asciiTheme="minorHAnsi" w:hAnsiTheme="minorHAnsi" w:cstheme="minorHAnsi"/>
          <w:bCs/>
          <w:sz w:val="22"/>
          <w:szCs w:val="22"/>
        </w:rPr>
        <w:t>se ha</w:t>
      </w:r>
      <w:r w:rsidRPr="00761C43">
        <w:rPr>
          <w:rFonts w:asciiTheme="minorHAnsi" w:hAnsiTheme="minorHAnsi" w:cstheme="minorHAnsi"/>
          <w:bCs/>
          <w:sz w:val="22"/>
          <w:szCs w:val="22"/>
        </w:rPr>
        <w:t xml:space="preserve"> pronuncia</w:t>
      </w:r>
      <w:r w:rsidR="000E3C43" w:rsidRPr="000937B6">
        <w:rPr>
          <w:rFonts w:asciiTheme="minorHAnsi" w:hAnsiTheme="minorHAnsi" w:cstheme="minorHAnsi"/>
          <w:bCs/>
          <w:sz w:val="22"/>
          <w:szCs w:val="22"/>
        </w:rPr>
        <w:t>do</w:t>
      </w:r>
      <w:r w:rsidRPr="00761C43">
        <w:rPr>
          <w:rFonts w:asciiTheme="minorHAnsi" w:hAnsiTheme="minorHAnsi" w:cstheme="minorHAnsi"/>
          <w:bCs/>
          <w:sz w:val="22"/>
          <w:szCs w:val="22"/>
        </w:rPr>
        <w:t xml:space="preserve"> en fecha reciente en contra de la atribución de gastos de hipoteca a los clientes, concretamente en su</w:t>
      </w:r>
      <w:hyperlink r:id="rId8" w:history="1">
        <w:r w:rsidRPr="00761C43">
          <w:rPr>
            <w:rFonts w:asciiTheme="minorHAnsi" w:hAnsiTheme="minorHAnsi" w:cstheme="minorHAnsi"/>
            <w:bCs/>
            <w:sz w:val="22"/>
            <w:szCs w:val="22"/>
          </w:rPr>
          <w:t> sentencia de 16 de julio de 2020</w:t>
        </w:r>
      </w:hyperlink>
      <w:r w:rsidRPr="00761C43">
        <w:rPr>
          <w:rFonts w:asciiTheme="minorHAnsi" w:hAnsiTheme="minorHAnsi" w:cstheme="minorHAnsi"/>
          <w:bCs/>
          <w:sz w:val="22"/>
          <w:szCs w:val="22"/>
        </w:rPr>
        <w:t>, estableciendo que el consumidor no debe abonar los gastos de notaría, registro, tasación y gestoría, entre otras consideraciones.</w:t>
      </w:r>
      <w:r w:rsidR="005A3479" w:rsidRPr="000937B6">
        <w:rPr>
          <w:rFonts w:asciiTheme="minorHAnsi" w:hAnsiTheme="minorHAnsi" w:cstheme="minorHAnsi"/>
          <w:bCs/>
          <w:sz w:val="22"/>
          <w:szCs w:val="22"/>
        </w:rPr>
        <w:t xml:space="preserve"> </w:t>
      </w:r>
    </w:p>
    <w:p w14:paraId="0CA8B9F0" w14:textId="77777777" w:rsidR="0091699B" w:rsidRDefault="0091699B" w:rsidP="0091699B">
      <w:pPr>
        <w:pStyle w:val="Sinespaciado"/>
        <w:ind w:left="720"/>
        <w:rPr>
          <w:rFonts w:asciiTheme="minorHAnsi" w:hAnsiTheme="minorHAnsi" w:cstheme="minorHAnsi"/>
          <w:bCs/>
          <w:sz w:val="22"/>
          <w:szCs w:val="22"/>
        </w:rPr>
      </w:pPr>
    </w:p>
    <w:p w14:paraId="07FF8ADD" w14:textId="3ECB0C66" w:rsidR="005A3479" w:rsidRPr="0091699B" w:rsidRDefault="00F92B9C" w:rsidP="0091699B">
      <w:pPr>
        <w:pStyle w:val="Sinespaciado"/>
        <w:numPr>
          <w:ilvl w:val="0"/>
          <w:numId w:val="11"/>
        </w:numPr>
        <w:rPr>
          <w:rFonts w:asciiTheme="minorHAnsi" w:hAnsiTheme="minorHAnsi" w:cstheme="minorHAnsi"/>
          <w:bCs/>
          <w:sz w:val="22"/>
          <w:szCs w:val="22"/>
        </w:rPr>
      </w:pPr>
      <w:r>
        <w:rPr>
          <w:rFonts w:asciiTheme="minorHAnsi" w:hAnsiTheme="minorHAnsi" w:cstheme="minorHAnsi"/>
          <w:bCs/>
          <w:sz w:val="22"/>
          <w:szCs w:val="22"/>
        </w:rPr>
        <w:t>E</w:t>
      </w:r>
      <w:r w:rsidRPr="004F1FFE">
        <w:rPr>
          <w:rFonts w:asciiTheme="minorHAnsi" w:hAnsiTheme="minorHAnsi" w:cstheme="minorHAnsi"/>
          <w:bCs/>
          <w:sz w:val="22"/>
          <w:szCs w:val="22"/>
        </w:rPr>
        <w:t>l Tribunal Supremo, en su </w:t>
      </w:r>
      <w:r w:rsidRPr="004F1FFE">
        <w:rPr>
          <w:rFonts w:asciiTheme="minorHAnsi" w:hAnsiTheme="minorHAnsi" w:cstheme="minorHAnsi"/>
          <w:b/>
          <w:sz w:val="22"/>
          <w:szCs w:val="22"/>
        </w:rPr>
        <w:t>sentencia 67/2021 de 27 de enero</w:t>
      </w:r>
      <w:r w:rsidRPr="004F1FFE">
        <w:rPr>
          <w:rFonts w:asciiTheme="minorHAnsi" w:hAnsiTheme="minorHAnsi" w:cstheme="minorHAnsi"/>
          <w:bCs/>
          <w:sz w:val="22"/>
          <w:szCs w:val="22"/>
        </w:rPr>
        <w:t> ha fijado los efectos económicos de la declaración de nulidad de la cláusula de gastos de los préstamos hipotecarios entre bancos y consumidores estableciendo que, una vez declarada abusiva la cláusula de imposición de gastos, los consumidores tienen derecho a la restitución de todos los gastos pagados en concepto de registro de la propiedad, gestoría y tasación, así como de la mitad de los gastos notariales.</w:t>
      </w:r>
    </w:p>
    <w:p w14:paraId="520EF9F6" w14:textId="77777777" w:rsidR="00B749D7" w:rsidRDefault="00B749D7" w:rsidP="00B749D7">
      <w:pPr>
        <w:pStyle w:val="Sinespaciado"/>
        <w:rPr>
          <w:rFonts w:asciiTheme="minorHAnsi" w:hAnsiTheme="minorHAnsi" w:cstheme="minorHAnsi"/>
          <w:bCs/>
          <w:sz w:val="22"/>
          <w:szCs w:val="22"/>
        </w:rPr>
      </w:pPr>
    </w:p>
    <w:p w14:paraId="07F246E4" w14:textId="77777777" w:rsidR="00B749D7" w:rsidRPr="00B749D7" w:rsidRDefault="00000000" w:rsidP="00B749D7">
      <w:pPr>
        <w:pStyle w:val="Sinespaciado"/>
        <w:numPr>
          <w:ilvl w:val="0"/>
          <w:numId w:val="11"/>
        </w:numPr>
        <w:rPr>
          <w:rFonts w:asciiTheme="minorHAnsi" w:hAnsiTheme="minorHAnsi" w:cstheme="minorHAnsi"/>
          <w:bCs/>
          <w:sz w:val="22"/>
          <w:szCs w:val="22"/>
        </w:rPr>
      </w:pPr>
      <w:hyperlink r:id="rId9" w:history="1">
        <w:r w:rsidR="00B749D7" w:rsidRPr="00B749D7">
          <w:rPr>
            <w:rFonts w:asciiTheme="minorHAnsi" w:hAnsiTheme="minorHAnsi" w:cstheme="minorHAnsi"/>
            <w:bCs/>
            <w:sz w:val="22"/>
            <w:szCs w:val="22"/>
          </w:rPr>
          <w:t>Reclamo igualmente la comisión de apertura, en su caso, a la luz de la reciente sentencia de marzo de 2023 del Tribunal Europeo.</w:t>
        </w:r>
      </w:hyperlink>
    </w:p>
    <w:p w14:paraId="14FF81C9" w14:textId="77777777" w:rsidR="004F1FFE" w:rsidRPr="004F1FFE" w:rsidRDefault="004F1FFE" w:rsidP="004F1FFE">
      <w:pPr>
        <w:pStyle w:val="Sinespaciado"/>
        <w:rPr>
          <w:rFonts w:asciiTheme="minorHAnsi" w:hAnsiTheme="minorHAnsi" w:cstheme="minorHAnsi"/>
          <w:bCs/>
          <w:sz w:val="22"/>
          <w:szCs w:val="22"/>
        </w:rPr>
      </w:pPr>
    </w:p>
    <w:p w14:paraId="6D5C0966" w14:textId="77777777" w:rsidR="00761C43" w:rsidRPr="00761C43" w:rsidRDefault="00761C43" w:rsidP="005D17B1">
      <w:pPr>
        <w:pStyle w:val="Sinespaciado"/>
        <w:rPr>
          <w:rFonts w:asciiTheme="minorHAnsi" w:hAnsiTheme="minorHAnsi" w:cstheme="minorHAnsi"/>
          <w:bCs/>
          <w:sz w:val="22"/>
          <w:szCs w:val="22"/>
        </w:rPr>
      </w:pPr>
      <w:r w:rsidRPr="00761C43">
        <w:rPr>
          <w:rFonts w:asciiTheme="minorHAnsi" w:hAnsiTheme="minorHAnsi" w:cstheme="minorHAnsi"/>
          <w:bCs/>
          <w:sz w:val="22"/>
          <w:szCs w:val="22"/>
        </w:rPr>
        <w:t>TERCERO.- Es por todo lo anteriormente expuesto por lo que vengo a SOLICITAR:</w:t>
      </w:r>
    </w:p>
    <w:p w14:paraId="67DB02E8" w14:textId="6B6E2C85" w:rsidR="00EF1C1C" w:rsidRDefault="00761C43" w:rsidP="005D17B1">
      <w:pPr>
        <w:pStyle w:val="Sinespaciado"/>
        <w:rPr>
          <w:rFonts w:asciiTheme="minorHAnsi" w:hAnsiTheme="minorHAnsi" w:cstheme="minorHAnsi"/>
          <w:bCs/>
          <w:sz w:val="22"/>
          <w:szCs w:val="22"/>
        </w:rPr>
      </w:pPr>
      <w:r w:rsidRPr="00761C43">
        <w:rPr>
          <w:rFonts w:asciiTheme="minorHAnsi" w:hAnsiTheme="minorHAnsi" w:cstheme="minorHAnsi"/>
          <w:bCs/>
          <w:sz w:val="22"/>
          <w:szCs w:val="22"/>
        </w:rPr>
        <w:t>Que se tenga por no puesta la cláusula del contrato de préstamo con garantía hipotecaria anteriormente referida</w:t>
      </w:r>
      <w:r w:rsidR="00EF1C1C">
        <w:rPr>
          <w:rFonts w:asciiTheme="minorHAnsi" w:hAnsiTheme="minorHAnsi" w:cstheme="minorHAnsi"/>
          <w:bCs/>
          <w:sz w:val="22"/>
          <w:szCs w:val="22"/>
        </w:rPr>
        <w:t xml:space="preserve"> y</w:t>
      </w:r>
      <w:r w:rsidRPr="00761C43">
        <w:rPr>
          <w:rFonts w:asciiTheme="minorHAnsi" w:hAnsiTheme="minorHAnsi" w:cstheme="minorHAnsi"/>
          <w:bCs/>
          <w:sz w:val="22"/>
          <w:szCs w:val="22"/>
        </w:rPr>
        <w:t> </w:t>
      </w:r>
      <w:r w:rsidR="00EF1C1C" w:rsidRPr="00EF1C1C">
        <w:rPr>
          <w:rFonts w:asciiTheme="minorHAnsi" w:hAnsiTheme="minorHAnsi" w:cstheme="minorHAnsi"/>
          <w:bCs/>
          <w:sz w:val="22"/>
          <w:szCs w:val="22"/>
        </w:rPr>
        <w:t xml:space="preserve">la devolución de los importes pagados </w:t>
      </w:r>
      <w:r w:rsidR="00EF1C1C">
        <w:rPr>
          <w:rFonts w:asciiTheme="minorHAnsi" w:hAnsiTheme="minorHAnsi" w:cstheme="minorHAnsi"/>
          <w:bCs/>
          <w:sz w:val="22"/>
          <w:szCs w:val="22"/>
        </w:rPr>
        <w:t xml:space="preserve">por mí, </w:t>
      </w:r>
      <w:r w:rsidR="00EF1C1C" w:rsidRPr="00EF1C1C">
        <w:rPr>
          <w:rFonts w:asciiTheme="minorHAnsi" w:hAnsiTheme="minorHAnsi" w:cstheme="minorHAnsi"/>
          <w:bCs/>
          <w:sz w:val="22"/>
          <w:szCs w:val="22"/>
        </w:rPr>
        <w:t>en concepto de registro de la propiedad, gestoría y tasación, así como de la mitad de los gastos notariales que aboné con ocasión de la constitución de mi préstamo hipotecario</w:t>
      </w:r>
      <w:r w:rsidR="0091699B">
        <w:rPr>
          <w:rFonts w:asciiTheme="minorHAnsi" w:hAnsiTheme="minorHAnsi" w:cstheme="minorHAnsi"/>
          <w:bCs/>
          <w:sz w:val="22"/>
          <w:szCs w:val="22"/>
        </w:rPr>
        <w:t xml:space="preserve"> y, en su caso, de la comisión de apertura.</w:t>
      </w:r>
    </w:p>
    <w:p w14:paraId="7EE17394" w14:textId="7A38BCBB" w:rsidR="00761C43" w:rsidRDefault="00EF1C1C" w:rsidP="005D17B1">
      <w:pPr>
        <w:pStyle w:val="Sinespaciado"/>
        <w:rPr>
          <w:rFonts w:asciiTheme="minorHAnsi" w:hAnsiTheme="minorHAnsi" w:cstheme="minorHAnsi"/>
          <w:bCs/>
          <w:sz w:val="22"/>
          <w:szCs w:val="22"/>
        </w:rPr>
      </w:pPr>
      <w:r w:rsidRPr="00EF1C1C">
        <w:rPr>
          <w:rFonts w:asciiTheme="minorHAnsi" w:hAnsiTheme="minorHAnsi" w:cstheme="minorHAnsi"/>
          <w:bCs/>
          <w:sz w:val="22"/>
          <w:szCs w:val="22"/>
        </w:rPr>
        <w:t>Adjunto le remito copia de las facturas de notario, del registrador, de la gestoría y de la tasación</w:t>
      </w:r>
      <w:r w:rsidR="0091699B">
        <w:rPr>
          <w:rFonts w:asciiTheme="minorHAnsi" w:hAnsiTheme="minorHAnsi" w:cstheme="minorHAnsi"/>
          <w:bCs/>
          <w:sz w:val="22"/>
          <w:szCs w:val="22"/>
        </w:rPr>
        <w:t xml:space="preserve"> y de la comisión de apertura satisfecha, </w:t>
      </w:r>
      <w:r w:rsidR="002001DF">
        <w:rPr>
          <w:rFonts w:asciiTheme="minorHAnsi" w:hAnsiTheme="minorHAnsi" w:cstheme="minorHAnsi"/>
          <w:bCs/>
          <w:sz w:val="22"/>
          <w:szCs w:val="22"/>
        </w:rPr>
        <w:t>cuyo detalle recojo en la tabla siguiente:</w:t>
      </w:r>
    </w:p>
    <w:p w14:paraId="45557D9F" w14:textId="77777777" w:rsidR="00097C3A" w:rsidRDefault="00097C3A" w:rsidP="005D17B1">
      <w:pPr>
        <w:pStyle w:val="Sinespaciado"/>
        <w:rPr>
          <w:rFonts w:asciiTheme="minorHAnsi" w:hAnsiTheme="minorHAnsi" w:cstheme="minorHAnsi"/>
          <w:bCs/>
          <w:sz w:val="22"/>
          <w:szCs w:val="22"/>
        </w:rPr>
      </w:pPr>
    </w:p>
    <w:p w14:paraId="77097970" w14:textId="7149D815" w:rsidR="002001DF" w:rsidRPr="00097C3A" w:rsidRDefault="00097C3A" w:rsidP="005D17B1">
      <w:pPr>
        <w:pStyle w:val="Sinespaciado"/>
        <w:rPr>
          <w:rFonts w:asciiTheme="minorHAnsi" w:hAnsiTheme="minorHAnsi" w:cstheme="minorHAnsi"/>
          <w:bCs/>
          <w:i/>
          <w:iCs/>
          <w:sz w:val="22"/>
          <w:szCs w:val="22"/>
        </w:rPr>
      </w:pPr>
      <w:r>
        <w:rPr>
          <w:rFonts w:asciiTheme="minorHAnsi" w:hAnsiTheme="minorHAnsi" w:cstheme="minorHAnsi"/>
          <w:b/>
          <w:i/>
          <w:iCs/>
          <w:color w:val="FF0000"/>
          <w:sz w:val="22"/>
          <w:szCs w:val="22"/>
        </w:rPr>
        <w:t>(</w:t>
      </w:r>
      <w:r w:rsidRPr="00097C3A">
        <w:rPr>
          <w:rFonts w:asciiTheme="minorHAnsi" w:hAnsiTheme="minorHAnsi" w:cstheme="minorHAnsi"/>
          <w:b/>
          <w:i/>
          <w:iCs/>
          <w:color w:val="FF0000"/>
          <w:sz w:val="22"/>
          <w:szCs w:val="22"/>
        </w:rPr>
        <w:t>Tienes que adaptar las fechas e importes a tu caso</w:t>
      </w:r>
      <w:r>
        <w:rPr>
          <w:rFonts w:asciiTheme="minorHAnsi" w:hAnsiTheme="minorHAnsi" w:cstheme="minorHAnsi"/>
          <w:b/>
          <w:i/>
          <w:iCs/>
          <w:color w:val="FF0000"/>
          <w:sz w:val="22"/>
          <w:szCs w:val="22"/>
        </w:rPr>
        <w:t>)</w:t>
      </w:r>
    </w:p>
    <w:tbl>
      <w:tblPr>
        <w:tblW w:w="8042" w:type="dxa"/>
        <w:tblCellMar>
          <w:left w:w="70" w:type="dxa"/>
          <w:right w:w="70" w:type="dxa"/>
        </w:tblCellMar>
        <w:tblLook w:val="04A0" w:firstRow="1" w:lastRow="0" w:firstColumn="1" w:lastColumn="0" w:noHBand="0" w:noVBand="1"/>
      </w:tblPr>
      <w:tblGrid>
        <w:gridCol w:w="2580"/>
        <w:gridCol w:w="1202"/>
        <w:gridCol w:w="1080"/>
        <w:gridCol w:w="687"/>
        <w:gridCol w:w="928"/>
        <w:gridCol w:w="632"/>
        <w:gridCol w:w="933"/>
      </w:tblGrid>
      <w:tr w:rsidR="00097C3A" w:rsidRPr="00BB1A90" w14:paraId="3D6941F7" w14:textId="77777777" w:rsidTr="00097C3A">
        <w:trPr>
          <w:trHeight w:val="288"/>
        </w:trPr>
        <w:tc>
          <w:tcPr>
            <w:tcW w:w="2580" w:type="dxa"/>
            <w:tcBorders>
              <w:bottom w:val="nil"/>
              <w:right w:val="nil"/>
            </w:tcBorders>
            <w:shd w:val="clear" w:color="auto" w:fill="auto"/>
            <w:noWrap/>
            <w:vAlign w:val="bottom"/>
            <w:hideMark/>
          </w:tcPr>
          <w:p w14:paraId="221C2C1E" w14:textId="77777777" w:rsidR="00097C3A" w:rsidRPr="00BB1A90" w:rsidRDefault="00097C3A" w:rsidP="00BB1A90">
            <w:pPr>
              <w:spacing w:after="0" w:line="240" w:lineRule="auto"/>
              <w:jc w:val="left"/>
              <w:rPr>
                <w:rFonts w:ascii="Calibri" w:eastAsia="Times New Roman" w:hAnsi="Calibri" w:cs="Calibri"/>
                <w:color w:val="000000"/>
                <w:sz w:val="22"/>
                <w:szCs w:val="22"/>
                <w:lang w:eastAsia="es-ES"/>
              </w:rPr>
            </w:pPr>
            <w:r w:rsidRPr="00BB1A90">
              <w:rPr>
                <w:rFonts w:ascii="Calibri" w:eastAsia="Times New Roman" w:hAnsi="Calibri" w:cs="Calibri"/>
                <w:color w:val="000000"/>
                <w:sz w:val="22"/>
                <w:szCs w:val="22"/>
                <w:lang w:eastAsia="es-ES"/>
              </w:rPr>
              <w:t> </w:t>
            </w:r>
          </w:p>
        </w:tc>
        <w:tc>
          <w:tcPr>
            <w:tcW w:w="1202" w:type="dxa"/>
            <w:tcBorders>
              <w:left w:val="nil"/>
              <w:bottom w:val="nil"/>
              <w:right w:val="nil"/>
            </w:tcBorders>
            <w:shd w:val="clear" w:color="auto" w:fill="auto"/>
            <w:noWrap/>
            <w:vAlign w:val="bottom"/>
            <w:hideMark/>
          </w:tcPr>
          <w:p w14:paraId="2DD54275" w14:textId="77777777" w:rsidR="00097C3A" w:rsidRPr="00BB1A90" w:rsidRDefault="00097C3A" w:rsidP="00BB1A90">
            <w:pPr>
              <w:spacing w:after="0" w:line="240" w:lineRule="auto"/>
              <w:jc w:val="left"/>
              <w:rPr>
                <w:rFonts w:ascii="Calibri" w:eastAsia="Times New Roman" w:hAnsi="Calibri" w:cs="Calibri"/>
                <w:color w:val="000000"/>
                <w:sz w:val="22"/>
                <w:szCs w:val="22"/>
                <w:lang w:eastAsia="es-ES"/>
              </w:rPr>
            </w:pPr>
            <w:r w:rsidRPr="00BB1A90">
              <w:rPr>
                <w:rFonts w:ascii="Calibri" w:eastAsia="Times New Roman" w:hAnsi="Calibri" w:cs="Calibri"/>
                <w:color w:val="000000"/>
                <w:sz w:val="22"/>
                <w:szCs w:val="22"/>
                <w:lang w:eastAsia="es-ES"/>
              </w:rPr>
              <w:t> </w:t>
            </w:r>
          </w:p>
        </w:tc>
        <w:tc>
          <w:tcPr>
            <w:tcW w:w="1080" w:type="dxa"/>
            <w:tcBorders>
              <w:left w:val="nil"/>
              <w:bottom w:val="nil"/>
            </w:tcBorders>
            <w:shd w:val="clear" w:color="auto" w:fill="auto"/>
            <w:noWrap/>
            <w:vAlign w:val="bottom"/>
            <w:hideMark/>
          </w:tcPr>
          <w:p w14:paraId="696347E3" w14:textId="77777777" w:rsidR="00097C3A" w:rsidRPr="00BB1A90" w:rsidRDefault="00097C3A" w:rsidP="00BB1A90">
            <w:pPr>
              <w:spacing w:after="0" w:line="240" w:lineRule="auto"/>
              <w:jc w:val="left"/>
              <w:rPr>
                <w:rFonts w:ascii="Calibri" w:eastAsia="Times New Roman" w:hAnsi="Calibri" w:cs="Calibri"/>
                <w:color w:val="000000"/>
                <w:sz w:val="22"/>
                <w:szCs w:val="22"/>
                <w:lang w:eastAsia="es-ES"/>
              </w:rPr>
            </w:pPr>
            <w:r w:rsidRPr="00BB1A90">
              <w:rPr>
                <w:rFonts w:ascii="Calibri" w:eastAsia="Times New Roman" w:hAnsi="Calibri" w:cs="Calibri"/>
                <w:color w:val="000000"/>
                <w:sz w:val="22"/>
                <w:szCs w:val="22"/>
                <w:lang w:eastAsia="es-ES"/>
              </w:rPr>
              <w:t> </w:t>
            </w:r>
          </w:p>
        </w:tc>
        <w:tc>
          <w:tcPr>
            <w:tcW w:w="3180" w:type="dxa"/>
            <w:gridSpan w:val="4"/>
            <w:tcBorders>
              <w:top w:val="nil"/>
              <w:left w:val="nil"/>
              <w:bottom w:val="single" w:sz="4" w:space="0" w:color="auto"/>
              <w:right w:val="nil"/>
            </w:tcBorders>
            <w:shd w:val="clear" w:color="auto" w:fill="auto"/>
            <w:noWrap/>
            <w:vAlign w:val="bottom"/>
            <w:hideMark/>
          </w:tcPr>
          <w:p w14:paraId="20C9B0F3" w14:textId="77777777" w:rsidR="00097C3A" w:rsidRPr="00BB1A90" w:rsidRDefault="00097C3A" w:rsidP="00BB1A90">
            <w:pPr>
              <w:spacing w:after="0" w:line="240" w:lineRule="auto"/>
              <w:jc w:val="center"/>
              <w:rPr>
                <w:rFonts w:ascii="Calibri" w:eastAsia="Times New Roman" w:hAnsi="Calibri" w:cs="Calibri"/>
                <w:color w:val="000000"/>
                <w:sz w:val="22"/>
                <w:szCs w:val="22"/>
                <w:lang w:eastAsia="es-ES"/>
              </w:rPr>
            </w:pPr>
            <w:r w:rsidRPr="00BB1A90">
              <w:rPr>
                <w:rFonts w:ascii="Calibri" w:eastAsia="Times New Roman" w:hAnsi="Calibri" w:cs="Calibri"/>
                <w:color w:val="000000"/>
                <w:sz w:val="22"/>
                <w:szCs w:val="22"/>
                <w:lang w:eastAsia="es-ES"/>
              </w:rPr>
              <w:t>distribución gastos</w:t>
            </w:r>
          </w:p>
        </w:tc>
      </w:tr>
      <w:tr w:rsidR="00097C3A" w:rsidRPr="00BB1A90" w14:paraId="509E8868" w14:textId="77777777" w:rsidTr="00097C3A">
        <w:trPr>
          <w:trHeight w:val="288"/>
        </w:trPr>
        <w:tc>
          <w:tcPr>
            <w:tcW w:w="2580" w:type="dxa"/>
            <w:tcBorders>
              <w:top w:val="nil"/>
              <w:bottom w:val="single" w:sz="4" w:space="0" w:color="auto"/>
              <w:right w:val="nil"/>
            </w:tcBorders>
            <w:shd w:val="clear" w:color="auto" w:fill="auto"/>
            <w:noWrap/>
            <w:vAlign w:val="bottom"/>
            <w:hideMark/>
          </w:tcPr>
          <w:p w14:paraId="0A146EE2" w14:textId="77777777" w:rsidR="00097C3A" w:rsidRPr="00BB1A90" w:rsidRDefault="00097C3A" w:rsidP="00BB1A90">
            <w:pPr>
              <w:spacing w:after="0" w:line="240" w:lineRule="auto"/>
              <w:jc w:val="left"/>
              <w:rPr>
                <w:rFonts w:ascii="Calibri" w:eastAsia="Times New Roman" w:hAnsi="Calibri" w:cs="Calibri"/>
                <w:color w:val="000000"/>
                <w:sz w:val="22"/>
                <w:szCs w:val="22"/>
                <w:lang w:eastAsia="es-ES"/>
              </w:rPr>
            </w:pPr>
            <w:r w:rsidRPr="00BB1A90">
              <w:rPr>
                <w:rFonts w:ascii="Calibri" w:eastAsia="Times New Roman" w:hAnsi="Calibri" w:cs="Calibri"/>
                <w:color w:val="000000"/>
                <w:sz w:val="22"/>
                <w:szCs w:val="22"/>
                <w:lang w:eastAsia="es-ES"/>
              </w:rPr>
              <w:t> </w:t>
            </w:r>
          </w:p>
        </w:tc>
        <w:tc>
          <w:tcPr>
            <w:tcW w:w="1202" w:type="dxa"/>
            <w:tcBorders>
              <w:top w:val="nil"/>
              <w:left w:val="nil"/>
              <w:bottom w:val="single" w:sz="4" w:space="0" w:color="auto"/>
              <w:right w:val="nil"/>
            </w:tcBorders>
            <w:shd w:val="clear" w:color="auto" w:fill="auto"/>
            <w:noWrap/>
            <w:vAlign w:val="bottom"/>
            <w:hideMark/>
          </w:tcPr>
          <w:p w14:paraId="4CEE98E3" w14:textId="77777777" w:rsidR="00097C3A" w:rsidRPr="00BB1A90" w:rsidRDefault="00097C3A" w:rsidP="00BB1A90">
            <w:pPr>
              <w:spacing w:after="0" w:line="240" w:lineRule="auto"/>
              <w:jc w:val="left"/>
              <w:rPr>
                <w:rFonts w:ascii="Calibri" w:eastAsia="Times New Roman" w:hAnsi="Calibri" w:cs="Calibri"/>
                <w:color w:val="000000"/>
                <w:sz w:val="22"/>
                <w:szCs w:val="22"/>
                <w:lang w:eastAsia="es-ES"/>
              </w:rPr>
            </w:pPr>
            <w:r w:rsidRPr="00BB1A90">
              <w:rPr>
                <w:rFonts w:ascii="Calibri" w:eastAsia="Times New Roman" w:hAnsi="Calibri" w:cs="Calibri"/>
                <w:color w:val="000000"/>
                <w:sz w:val="22"/>
                <w:szCs w:val="22"/>
                <w:lang w:eastAsia="es-ES"/>
              </w:rPr>
              <w:t> </w:t>
            </w:r>
          </w:p>
        </w:tc>
        <w:tc>
          <w:tcPr>
            <w:tcW w:w="1080" w:type="dxa"/>
            <w:tcBorders>
              <w:top w:val="nil"/>
              <w:left w:val="nil"/>
              <w:bottom w:val="single" w:sz="4" w:space="0" w:color="auto"/>
              <w:right w:val="single" w:sz="4" w:space="0" w:color="auto"/>
            </w:tcBorders>
            <w:shd w:val="clear" w:color="auto" w:fill="auto"/>
            <w:noWrap/>
            <w:vAlign w:val="bottom"/>
            <w:hideMark/>
          </w:tcPr>
          <w:p w14:paraId="786C0C8F" w14:textId="77777777" w:rsidR="00097C3A" w:rsidRPr="00BB1A90" w:rsidRDefault="00097C3A" w:rsidP="00BB1A90">
            <w:pPr>
              <w:spacing w:after="0" w:line="240" w:lineRule="auto"/>
              <w:jc w:val="left"/>
              <w:rPr>
                <w:rFonts w:ascii="Calibri" w:eastAsia="Times New Roman" w:hAnsi="Calibri" w:cs="Calibri"/>
                <w:color w:val="000000"/>
                <w:sz w:val="22"/>
                <w:szCs w:val="22"/>
                <w:lang w:eastAsia="es-ES"/>
              </w:rPr>
            </w:pPr>
            <w:r w:rsidRPr="00BB1A90">
              <w:rPr>
                <w:rFonts w:ascii="Calibri" w:eastAsia="Times New Roman" w:hAnsi="Calibri" w:cs="Calibri"/>
                <w:color w:val="000000"/>
                <w:sz w:val="22"/>
                <w:szCs w:val="22"/>
                <w:lang w:eastAsia="es-ES"/>
              </w:rPr>
              <w:t> </w:t>
            </w:r>
          </w:p>
        </w:tc>
        <w:tc>
          <w:tcPr>
            <w:tcW w:w="161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42AD0D1" w14:textId="77777777" w:rsidR="00097C3A" w:rsidRPr="00BB1A90" w:rsidRDefault="00097C3A" w:rsidP="00BB1A90">
            <w:pPr>
              <w:spacing w:after="0" w:line="240" w:lineRule="auto"/>
              <w:jc w:val="center"/>
              <w:rPr>
                <w:rFonts w:ascii="Calibri" w:eastAsia="Times New Roman" w:hAnsi="Calibri" w:cs="Calibri"/>
                <w:color w:val="000000"/>
                <w:sz w:val="22"/>
                <w:szCs w:val="22"/>
                <w:lang w:eastAsia="es-ES"/>
              </w:rPr>
            </w:pPr>
            <w:r w:rsidRPr="00BB1A90">
              <w:rPr>
                <w:rFonts w:ascii="Calibri" w:eastAsia="Times New Roman" w:hAnsi="Calibri" w:cs="Calibri"/>
                <w:color w:val="000000"/>
                <w:sz w:val="22"/>
                <w:szCs w:val="22"/>
                <w:lang w:eastAsia="es-ES"/>
              </w:rPr>
              <w:t>consumidor</w:t>
            </w:r>
          </w:p>
        </w:tc>
        <w:tc>
          <w:tcPr>
            <w:tcW w:w="1565"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5999E054" w14:textId="77777777" w:rsidR="00097C3A" w:rsidRPr="00BB1A90" w:rsidRDefault="00097C3A" w:rsidP="00BB1A90">
            <w:pPr>
              <w:spacing w:after="0" w:line="240" w:lineRule="auto"/>
              <w:jc w:val="center"/>
              <w:rPr>
                <w:rFonts w:ascii="Calibri" w:eastAsia="Times New Roman" w:hAnsi="Calibri" w:cs="Calibri"/>
                <w:b/>
                <w:bCs/>
                <w:color w:val="000000"/>
                <w:sz w:val="22"/>
                <w:szCs w:val="22"/>
                <w:lang w:eastAsia="es-ES"/>
              </w:rPr>
            </w:pPr>
            <w:r w:rsidRPr="00BB1A90">
              <w:rPr>
                <w:rFonts w:ascii="Calibri" w:eastAsia="Times New Roman" w:hAnsi="Calibri" w:cs="Calibri"/>
                <w:b/>
                <w:bCs/>
                <w:color w:val="000000"/>
                <w:sz w:val="22"/>
                <w:szCs w:val="22"/>
                <w:lang w:eastAsia="es-ES"/>
              </w:rPr>
              <w:t>banco</w:t>
            </w:r>
          </w:p>
        </w:tc>
      </w:tr>
      <w:tr w:rsidR="00097C3A" w:rsidRPr="00097C3A" w14:paraId="4D4E6E36" w14:textId="77777777" w:rsidTr="00097C3A">
        <w:trPr>
          <w:trHeight w:val="288"/>
        </w:trPr>
        <w:tc>
          <w:tcPr>
            <w:tcW w:w="2580" w:type="dxa"/>
            <w:tcBorders>
              <w:top w:val="nil"/>
              <w:left w:val="single" w:sz="4" w:space="0" w:color="auto"/>
              <w:bottom w:val="nil"/>
              <w:right w:val="nil"/>
            </w:tcBorders>
            <w:shd w:val="clear" w:color="auto" w:fill="auto"/>
            <w:noWrap/>
            <w:vAlign w:val="bottom"/>
            <w:hideMark/>
          </w:tcPr>
          <w:p w14:paraId="6CE3E973" w14:textId="77777777" w:rsidR="00097C3A" w:rsidRPr="00097C3A" w:rsidRDefault="00097C3A" w:rsidP="00BB1A90">
            <w:pPr>
              <w:spacing w:after="0" w:line="240" w:lineRule="auto"/>
              <w:jc w:val="lef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arancel notarial</w:t>
            </w:r>
          </w:p>
        </w:tc>
        <w:tc>
          <w:tcPr>
            <w:tcW w:w="1202" w:type="dxa"/>
            <w:tcBorders>
              <w:top w:val="nil"/>
              <w:left w:val="nil"/>
              <w:bottom w:val="nil"/>
              <w:right w:val="nil"/>
            </w:tcBorders>
            <w:shd w:val="clear" w:color="auto" w:fill="auto"/>
            <w:noWrap/>
            <w:vAlign w:val="bottom"/>
            <w:hideMark/>
          </w:tcPr>
          <w:p w14:paraId="7E7FE1A7"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10/03/2003</w:t>
            </w:r>
          </w:p>
        </w:tc>
        <w:tc>
          <w:tcPr>
            <w:tcW w:w="1080" w:type="dxa"/>
            <w:tcBorders>
              <w:top w:val="nil"/>
              <w:left w:val="nil"/>
              <w:bottom w:val="nil"/>
              <w:right w:val="single" w:sz="4" w:space="0" w:color="auto"/>
            </w:tcBorders>
            <w:shd w:val="clear" w:color="auto" w:fill="auto"/>
            <w:noWrap/>
            <w:vAlign w:val="bottom"/>
            <w:hideMark/>
          </w:tcPr>
          <w:p w14:paraId="0B00ADB2"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563,26</w:t>
            </w:r>
          </w:p>
        </w:tc>
        <w:tc>
          <w:tcPr>
            <w:tcW w:w="687" w:type="dxa"/>
            <w:tcBorders>
              <w:top w:val="nil"/>
              <w:left w:val="nil"/>
              <w:bottom w:val="nil"/>
              <w:right w:val="nil"/>
            </w:tcBorders>
            <w:shd w:val="clear" w:color="auto" w:fill="auto"/>
            <w:noWrap/>
            <w:vAlign w:val="bottom"/>
            <w:hideMark/>
          </w:tcPr>
          <w:p w14:paraId="34143A0A"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50%</w:t>
            </w:r>
          </w:p>
        </w:tc>
        <w:tc>
          <w:tcPr>
            <w:tcW w:w="928" w:type="dxa"/>
            <w:tcBorders>
              <w:top w:val="nil"/>
              <w:left w:val="nil"/>
              <w:bottom w:val="nil"/>
              <w:right w:val="single" w:sz="4" w:space="0" w:color="auto"/>
            </w:tcBorders>
            <w:shd w:val="clear" w:color="auto" w:fill="auto"/>
            <w:noWrap/>
            <w:vAlign w:val="bottom"/>
            <w:hideMark/>
          </w:tcPr>
          <w:p w14:paraId="07036A34"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281,63</w:t>
            </w:r>
          </w:p>
        </w:tc>
        <w:tc>
          <w:tcPr>
            <w:tcW w:w="632" w:type="dxa"/>
            <w:tcBorders>
              <w:top w:val="nil"/>
              <w:left w:val="nil"/>
              <w:bottom w:val="nil"/>
              <w:right w:val="nil"/>
            </w:tcBorders>
            <w:shd w:val="clear" w:color="000000" w:fill="FFFF00"/>
            <w:noWrap/>
            <w:vAlign w:val="bottom"/>
            <w:hideMark/>
          </w:tcPr>
          <w:p w14:paraId="290DF4D4"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50%</w:t>
            </w:r>
          </w:p>
        </w:tc>
        <w:tc>
          <w:tcPr>
            <w:tcW w:w="933" w:type="dxa"/>
            <w:tcBorders>
              <w:top w:val="nil"/>
              <w:left w:val="nil"/>
              <w:bottom w:val="nil"/>
              <w:right w:val="single" w:sz="4" w:space="0" w:color="auto"/>
            </w:tcBorders>
            <w:shd w:val="clear" w:color="000000" w:fill="FFFF00"/>
            <w:noWrap/>
            <w:vAlign w:val="bottom"/>
            <w:hideMark/>
          </w:tcPr>
          <w:p w14:paraId="17763BBD"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281,63</w:t>
            </w:r>
          </w:p>
        </w:tc>
      </w:tr>
      <w:tr w:rsidR="00097C3A" w:rsidRPr="00097C3A" w14:paraId="0E6820DE" w14:textId="77777777" w:rsidTr="00097C3A">
        <w:trPr>
          <w:trHeight w:val="288"/>
        </w:trPr>
        <w:tc>
          <w:tcPr>
            <w:tcW w:w="2580" w:type="dxa"/>
            <w:tcBorders>
              <w:top w:val="nil"/>
              <w:left w:val="single" w:sz="4" w:space="0" w:color="auto"/>
              <w:bottom w:val="nil"/>
              <w:right w:val="nil"/>
            </w:tcBorders>
            <w:shd w:val="clear" w:color="auto" w:fill="auto"/>
            <w:noWrap/>
            <w:vAlign w:val="bottom"/>
            <w:hideMark/>
          </w:tcPr>
          <w:p w14:paraId="54E6DE9D" w14:textId="77777777" w:rsidR="00097C3A" w:rsidRPr="00097C3A" w:rsidRDefault="00097C3A" w:rsidP="00BB1A90">
            <w:pPr>
              <w:spacing w:after="0" w:line="240" w:lineRule="auto"/>
              <w:jc w:val="lef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arancel registro propiedad</w:t>
            </w:r>
          </w:p>
        </w:tc>
        <w:tc>
          <w:tcPr>
            <w:tcW w:w="1202" w:type="dxa"/>
            <w:tcBorders>
              <w:top w:val="nil"/>
              <w:left w:val="nil"/>
              <w:bottom w:val="nil"/>
              <w:right w:val="nil"/>
            </w:tcBorders>
            <w:shd w:val="clear" w:color="auto" w:fill="auto"/>
            <w:noWrap/>
            <w:vAlign w:val="bottom"/>
            <w:hideMark/>
          </w:tcPr>
          <w:p w14:paraId="37F71470"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18/06/2003</w:t>
            </w:r>
          </w:p>
        </w:tc>
        <w:tc>
          <w:tcPr>
            <w:tcW w:w="1080" w:type="dxa"/>
            <w:tcBorders>
              <w:top w:val="nil"/>
              <w:left w:val="nil"/>
              <w:bottom w:val="nil"/>
              <w:right w:val="single" w:sz="4" w:space="0" w:color="auto"/>
            </w:tcBorders>
            <w:shd w:val="clear" w:color="auto" w:fill="auto"/>
            <w:noWrap/>
            <w:vAlign w:val="bottom"/>
            <w:hideMark/>
          </w:tcPr>
          <w:p w14:paraId="1CD7D9A4"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212,88</w:t>
            </w:r>
          </w:p>
        </w:tc>
        <w:tc>
          <w:tcPr>
            <w:tcW w:w="687" w:type="dxa"/>
            <w:tcBorders>
              <w:top w:val="nil"/>
              <w:left w:val="nil"/>
              <w:bottom w:val="nil"/>
              <w:right w:val="nil"/>
            </w:tcBorders>
            <w:shd w:val="clear" w:color="auto" w:fill="auto"/>
            <w:noWrap/>
            <w:vAlign w:val="bottom"/>
            <w:hideMark/>
          </w:tcPr>
          <w:p w14:paraId="1FC530F6"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0%</w:t>
            </w:r>
          </w:p>
        </w:tc>
        <w:tc>
          <w:tcPr>
            <w:tcW w:w="928" w:type="dxa"/>
            <w:tcBorders>
              <w:top w:val="nil"/>
              <w:left w:val="nil"/>
              <w:bottom w:val="nil"/>
              <w:right w:val="single" w:sz="4" w:space="0" w:color="auto"/>
            </w:tcBorders>
            <w:shd w:val="clear" w:color="auto" w:fill="auto"/>
            <w:noWrap/>
            <w:vAlign w:val="bottom"/>
            <w:hideMark/>
          </w:tcPr>
          <w:p w14:paraId="6AF412AC"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0,00</w:t>
            </w:r>
          </w:p>
        </w:tc>
        <w:tc>
          <w:tcPr>
            <w:tcW w:w="632" w:type="dxa"/>
            <w:tcBorders>
              <w:top w:val="nil"/>
              <w:left w:val="nil"/>
              <w:bottom w:val="nil"/>
              <w:right w:val="nil"/>
            </w:tcBorders>
            <w:shd w:val="clear" w:color="000000" w:fill="FFFF00"/>
            <w:noWrap/>
            <w:vAlign w:val="bottom"/>
            <w:hideMark/>
          </w:tcPr>
          <w:p w14:paraId="307D515D"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100%</w:t>
            </w:r>
          </w:p>
        </w:tc>
        <w:tc>
          <w:tcPr>
            <w:tcW w:w="933" w:type="dxa"/>
            <w:tcBorders>
              <w:top w:val="nil"/>
              <w:left w:val="nil"/>
              <w:bottom w:val="nil"/>
              <w:right w:val="single" w:sz="4" w:space="0" w:color="auto"/>
            </w:tcBorders>
            <w:shd w:val="clear" w:color="000000" w:fill="FFFF00"/>
            <w:noWrap/>
            <w:vAlign w:val="bottom"/>
            <w:hideMark/>
          </w:tcPr>
          <w:p w14:paraId="52A72072"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212,88</w:t>
            </w:r>
          </w:p>
        </w:tc>
      </w:tr>
      <w:tr w:rsidR="00097C3A" w:rsidRPr="00097C3A" w14:paraId="5AB9583B" w14:textId="77777777" w:rsidTr="00097C3A">
        <w:trPr>
          <w:trHeight w:val="288"/>
        </w:trPr>
        <w:tc>
          <w:tcPr>
            <w:tcW w:w="2580" w:type="dxa"/>
            <w:tcBorders>
              <w:top w:val="nil"/>
              <w:left w:val="single" w:sz="4" w:space="0" w:color="auto"/>
              <w:bottom w:val="nil"/>
              <w:right w:val="nil"/>
            </w:tcBorders>
            <w:shd w:val="clear" w:color="auto" w:fill="auto"/>
            <w:noWrap/>
            <w:vAlign w:val="bottom"/>
            <w:hideMark/>
          </w:tcPr>
          <w:p w14:paraId="4BC190C8" w14:textId="77777777" w:rsidR="00097C3A" w:rsidRPr="00097C3A" w:rsidRDefault="00097C3A" w:rsidP="00BB1A90">
            <w:pPr>
              <w:spacing w:after="0" w:line="240" w:lineRule="auto"/>
              <w:jc w:val="lef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gastos tasación</w:t>
            </w:r>
          </w:p>
        </w:tc>
        <w:tc>
          <w:tcPr>
            <w:tcW w:w="1202" w:type="dxa"/>
            <w:tcBorders>
              <w:top w:val="nil"/>
              <w:left w:val="nil"/>
              <w:bottom w:val="nil"/>
              <w:right w:val="nil"/>
            </w:tcBorders>
            <w:shd w:val="clear" w:color="auto" w:fill="auto"/>
            <w:noWrap/>
            <w:vAlign w:val="bottom"/>
            <w:hideMark/>
          </w:tcPr>
          <w:p w14:paraId="5BDC21F8"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10/01/2003</w:t>
            </w:r>
          </w:p>
        </w:tc>
        <w:tc>
          <w:tcPr>
            <w:tcW w:w="1080" w:type="dxa"/>
            <w:tcBorders>
              <w:top w:val="nil"/>
              <w:left w:val="nil"/>
              <w:bottom w:val="nil"/>
              <w:right w:val="single" w:sz="4" w:space="0" w:color="auto"/>
            </w:tcBorders>
            <w:shd w:val="clear" w:color="auto" w:fill="auto"/>
            <w:noWrap/>
            <w:vAlign w:val="bottom"/>
            <w:hideMark/>
          </w:tcPr>
          <w:p w14:paraId="271014B7"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598,30</w:t>
            </w:r>
          </w:p>
        </w:tc>
        <w:tc>
          <w:tcPr>
            <w:tcW w:w="687" w:type="dxa"/>
            <w:tcBorders>
              <w:top w:val="nil"/>
              <w:left w:val="nil"/>
              <w:bottom w:val="nil"/>
              <w:right w:val="nil"/>
            </w:tcBorders>
            <w:shd w:val="clear" w:color="auto" w:fill="auto"/>
            <w:noWrap/>
            <w:vAlign w:val="bottom"/>
            <w:hideMark/>
          </w:tcPr>
          <w:p w14:paraId="2EF7805B"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0%</w:t>
            </w:r>
          </w:p>
        </w:tc>
        <w:tc>
          <w:tcPr>
            <w:tcW w:w="928" w:type="dxa"/>
            <w:tcBorders>
              <w:top w:val="nil"/>
              <w:left w:val="nil"/>
              <w:bottom w:val="nil"/>
              <w:right w:val="single" w:sz="4" w:space="0" w:color="auto"/>
            </w:tcBorders>
            <w:shd w:val="clear" w:color="auto" w:fill="auto"/>
            <w:noWrap/>
            <w:vAlign w:val="bottom"/>
            <w:hideMark/>
          </w:tcPr>
          <w:p w14:paraId="6803EEA9"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0,00</w:t>
            </w:r>
          </w:p>
        </w:tc>
        <w:tc>
          <w:tcPr>
            <w:tcW w:w="632" w:type="dxa"/>
            <w:tcBorders>
              <w:top w:val="nil"/>
              <w:left w:val="nil"/>
              <w:bottom w:val="nil"/>
              <w:right w:val="nil"/>
            </w:tcBorders>
            <w:shd w:val="clear" w:color="000000" w:fill="FFFF00"/>
            <w:noWrap/>
            <w:vAlign w:val="bottom"/>
            <w:hideMark/>
          </w:tcPr>
          <w:p w14:paraId="79E7ADCC"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100%</w:t>
            </w:r>
          </w:p>
        </w:tc>
        <w:tc>
          <w:tcPr>
            <w:tcW w:w="933" w:type="dxa"/>
            <w:tcBorders>
              <w:top w:val="nil"/>
              <w:left w:val="nil"/>
              <w:bottom w:val="nil"/>
              <w:right w:val="single" w:sz="4" w:space="0" w:color="auto"/>
            </w:tcBorders>
            <w:shd w:val="clear" w:color="000000" w:fill="FFFF00"/>
            <w:noWrap/>
            <w:vAlign w:val="bottom"/>
            <w:hideMark/>
          </w:tcPr>
          <w:p w14:paraId="4803543C"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598,30</w:t>
            </w:r>
          </w:p>
        </w:tc>
      </w:tr>
      <w:tr w:rsidR="00097C3A" w:rsidRPr="00097C3A" w14:paraId="5C7BC933" w14:textId="77777777" w:rsidTr="00097C3A">
        <w:trPr>
          <w:trHeight w:val="288"/>
        </w:trPr>
        <w:tc>
          <w:tcPr>
            <w:tcW w:w="2580" w:type="dxa"/>
            <w:tcBorders>
              <w:top w:val="nil"/>
              <w:left w:val="single" w:sz="4" w:space="0" w:color="auto"/>
              <w:bottom w:val="nil"/>
              <w:right w:val="nil"/>
            </w:tcBorders>
            <w:shd w:val="clear" w:color="auto" w:fill="auto"/>
            <w:noWrap/>
            <w:vAlign w:val="bottom"/>
            <w:hideMark/>
          </w:tcPr>
          <w:p w14:paraId="137ABF9B" w14:textId="77777777" w:rsidR="00097C3A" w:rsidRPr="00097C3A" w:rsidRDefault="00097C3A" w:rsidP="00BB1A90">
            <w:pPr>
              <w:spacing w:after="0" w:line="240" w:lineRule="auto"/>
              <w:jc w:val="lef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gastos gestoría</w:t>
            </w:r>
          </w:p>
        </w:tc>
        <w:tc>
          <w:tcPr>
            <w:tcW w:w="1202" w:type="dxa"/>
            <w:tcBorders>
              <w:top w:val="nil"/>
              <w:left w:val="nil"/>
              <w:bottom w:val="nil"/>
              <w:right w:val="nil"/>
            </w:tcBorders>
            <w:shd w:val="clear" w:color="auto" w:fill="auto"/>
            <w:noWrap/>
            <w:vAlign w:val="bottom"/>
            <w:hideMark/>
          </w:tcPr>
          <w:p w14:paraId="67154D8F"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14/04/2003</w:t>
            </w:r>
          </w:p>
        </w:tc>
        <w:tc>
          <w:tcPr>
            <w:tcW w:w="1080" w:type="dxa"/>
            <w:tcBorders>
              <w:top w:val="nil"/>
              <w:left w:val="nil"/>
              <w:bottom w:val="nil"/>
              <w:right w:val="single" w:sz="4" w:space="0" w:color="auto"/>
            </w:tcBorders>
            <w:shd w:val="clear" w:color="auto" w:fill="auto"/>
            <w:noWrap/>
            <w:vAlign w:val="bottom"/>
            <w:hideMark/>
          </w:tcPr>
          <w:p w14:paraId="374D6641"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662,33</w:t>
            </w:r>
          </w:p>
        </w:tc>
        <w:tc>
          <w:tcPr>
            <w:tcW w:w="687" w:type="dxa"/>
            <w:tcBorders>
              <w:top w:val="nil"/>
              <w:left w:val="nil"/>
              <w:bottom w:val="nil"/>
              <w:right w:val="nil"/>
            </w:tcBorders>
            <w:shd w:val="clear" w:color="auto" w:fill="auto"/>
            <w:noWrap/>
            <w:vAlign w:val="bottom"/>
            <w:hideMark/>
          </w:tcPr>
          <w:p w14:paraId="2F589665"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0%</w:t>
            </w:r>
          </w:p>
        </w:tc>
        <w:tc>
          <w:tcPr>
            <w:tcW w:w="928" w:type="dxa"/>
            <w:tcBorders>
              <w:top w:val="nil"/>
              <w:left w:val="nil"/>
              <w:bottom w:val="nil"/>
              <w:right w:val="single" w:sz="4" w:space="0" w:color="auto"/>
            </w:tcBorders>
            <w:shd w:val="clear" w:color="auto" w:fill="auto"/>
            <w:noWrap/>
            <w:vAlign w:val="bottom"/>
            <w:hideMark/>
          </w:tcPr>
          <w:p w14:paraId="748E5ECE"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0,00</w:t>
            </w:r>
          </w:p>
        </w:tc>
        <w:tc>
          <w:tcPr>
            <w:tcW w:w="632" w:type="dxa"/>
            <w:tcBorders>
              <w:top w:val="nil"/>
              <w:left w:val="nil"/>
              <w:bottom w:val="nil"/>
              <w:right w:val="nil"/>
            </w:tcBorders>
            <w:shd w:val="clear" w:color="000000" w:fill="FFFF00"/>
            <w:noWrap/>
            <w:vAlign w:val="bottom"/>
            <w:hideMark/>
          </w:tcPr>
          <w:p w14:paraId="14D7F4EE"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100%</w:t>
            </w:r>
          </w:p>
        </w:tc>
        <w:tc>
          <w:tcPr>
            <w:tcW w:w="933" w:type="dxa"/>
            <w:tcBorders>
              <w:top w:val="nil"/>
              <w:left w:val="nil"/>
              <w:bottom w:val="nil"/>
              <w:right w:val="single" w:sz="4" w:space="0" w:color="auto"/>
            </w:tcBorders>
            <w:shd w:val="clear" w:color="000000" w:fill="FFFF00"/>
            <w:noWrap/>
            <w:vAlign w:val="bottom"/>
            <w:hideMark/>
          </w:tcPr>
          <w:p w14:paraId="3BDC1E1C"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662,33</w:t>
            </w:r>
          </w:p>
        </w:tc>
      </w:tr>
      <w:tr w:rsidR="00097C3A" w:rsidRPr="00097C3A" w14:paraId="3007B784" w14:textId="77777777" w:rsidTr="00097C3A">
        <w:trPr>
          <w:trHeight w:val="288"/>
        </w:trPr>
        <w:tc>
          <w:tcPr>
            <w:tcW w:w="2580" w:type="dxa"/>
            <w:tcBorders>
              <w:top w:val="nil"/>
              <w:left w:val="single" w:sz="4" w:space="0" w:color="auto"/>
              <w:bottom w:val="nil"/>
              <w:right w:val="nil"/>
            </w:tcBorders>
            <w:shd w:val="clear" w:color="auto" w:fill="auto"/>
            <w:noWrap/>
            <w:vAlign w:val="bottom"/>
            <w:hideMark/>
          </w:tcPr>
          <w:p w14:paraId="13E29188" w14:textId="77777777" w:rsidR="00097C3A" w:rsidRPr="00097C3A" w:rsidRDefault="00097C3A" w:rsidP="00BB1A90">
            <w:pPr>
              <w:spacing w:after="0" w:line="240" w:lineRule="auto"/>
              <w:jc w:val="lef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gastos gestoría</w:t>
            </w:r>
          </w:p>
        </w:tc>
        <w:tc>
          <w:tcPr>
            <w:tcW w:w="1202" w:type="dxa"/>
            <w:tcBorders>
              <w:top w:val="nil"/>
              <w:left w:val="nil"/>
              <w:bottom w:val="nil"/>
              <w:right w:val="nil"/>
            </w:tcBorders>
            <w:shd w:val="clear" w:color="auto" w:fill="auto"/>
            <w:noWrap/>
            <w:vAlign w:val="bottom"/>
            <w:hideMark/>
          </w:tcPr>
          <w:p w14:paraId="75F5C660"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16/01/2003</w:t>
            </w:r>
          </w:p>
        </w:tc>
        <w:tc>
          <w:tcPr>
            <w:tcW w:w="1080" w:type="dxa"/>
            <w:tcBorders>
              <w:top w:val="nil"/>
              <w:left w:val="nil"/>
              <w:bottom w:val="nil"/>
              <w:right w:val="single" w:sz="4" w:space="0" w:color="auto"/>
            </w:tcBorders>
            <w:shd w:val="clear" w:color="auto" w:fill="auto"/>
            <w:noWrap/>
            <w:vAlign w:val="bottom"/>
            <w:hideMark/>
          </w:tcPr>
          <w:p w14:paraId="70C84503"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24,41</w:t>
            </w:r>
          </w:p>
        </w:tc>
        <w:tc>
          <w:tcPr>
            <w:tcW w:w="687" w:type="dxa"/>
            <w:tcBorders>
              <w:top w:val="nil"/>
              <w:left w:val="nil"/>
              <w:bottom w:val="nil"/>
              <w:right w:val="nil"/>
            </w:tcBorders>
            <w:shd w:val="clear" w:color="auto" w:fill="auto"/>
            <w:noWrap/>
            <w:vAlign w:val="bottom"/>
            <w:hideMark/>
          </w:tcPr>
          <w:p w14:paraId="4E0C72E9"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0%</w:t>
            </w:r>
          </w:p>
        </w:tc>
        <w:tc>
          <w:tcPr>
            <w:tcW w:w="928" w:type="dxa"/>
            <w:tcBorders>
              <w:top w:val="nil"/>
              <w:left w:val="nil"/>
              <w:bottom w:val="nil"/>
              <w:right w:val="single" w:sz="4" w:space="0" w:color="auto"/>
            </w:tcBorders>
            <w:shd w:val="clear" w:color="auto" w:fill="auto"/>
            <w:noWrap/>
            <w:vAlign w:val="bottom"/>
            <w:hideMark/>
          </w:tcPr>
          <w:p w14:paraId="4EA120FF"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0,00</w:t>
            </w:r>
          </w:p>
        </w:tc>
        <w:tc>
          <w:tcPr>
            <w:tcW w:w="632" w:type="dxa"/>
            <w:tcBorders>
              <w:top w:val="nil"/>
              <w:left w:val="nil"/>
              <w:bottom w:val="nil"/>
              <w:right w:val="nil"/>
            </w:tcBorders>
            <w:shd w:val="clear" w:color="000000" w:fill="FFFF00"/>
            <w:noWrap/>
            <w:vAlign w:val="bottom"/>
            <w:hideMark/>
          </w:tcPr>
          <w:p w14:paraId="167BB400"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100%</w:t>
            </w:r>
          </w:p>
        </w:tc>
        <w:tc>
          <w:tcPr>
            <w:tcW w:w="933" w:type="dxa"/>
            <w:tcBorders>
              <w:top w:val="nil"/>
              <w:left w:val="nil"/>
              <w:bottom w:val="nil"/>
              <w:right w:val="single" w:sz="4" w:space="0" w:color="auto"/>
            </w:tcBorders>
            <w:shd w:val="clear" w:color="000000" w:fill="FFFF00"/>
            <w:noWrap/>
            <w:vAlign w:val="bottom"/>
            <w:hideMark/>
          </w:tcPr>
          <w:p w14:paraId="22B523EA"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24,41</w:t>
            </w:r>
          </w:p>
        </w:tc>
      </w:tr>
      <w:tr w:rsidR="00097C3A" w:rsidRPr="00097C3A" w14:paraId="5006810E" w14:textId="77777777" w:rsidTr="00097C3A">
        <w:trPr>
          <w:trHeight w:val="288"/>
        </w:trPr>
        <w:tc>
          <w:tcPr>
            <w:tcW w:w="2580" w:type="dxa"/>
            <w:tcBorders>
              <w:top w:val="nil"/>
              <w:left w:val="single" w:sz="4" w:space="0" w:color="auto"/>
              <w:bottom w:val="single" w:sz="4" w:space="0" w:color="auto"/>
              <w:right w:val="nil"/>
            </w:tcBorders>
            <w:shd w:val="clear" w:color="auto" w:fill="auto"/>
            <w:noWrap/>
            <w:vAlign w:val="bottom"/>
            <w:hideMark/>
          </w:tcPr>
          <w:p w14:paraId="331802A5" w14:textId="77777777" w:rsidR="00097C3A" w:rsidRPr="00097C3A" w:rsidRDefault="00097C3A" w:rsidP="00BB1A90">
            <w:pPr>
              <w:spacing w:after="0" w:line="240" w:lineRule="auto"/>
              <w:jc w:val="lef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 xml:space="preserve">impuesto AJD </w:t>
            </w:r>
          </w:p>
        </w:tc>
        <w:tc>
          <w:tcPr>
            <w:tcW w:w="1202" w:type="dxa"/>
            <w:tcBorders>
              <w:top w:val="nil"/>
              <w:left w:val="nil"/>
              <w:bottom w:val="single" w:sz="4" w:space="0" w:color="auto"/>
              <w:right w:val="nil"/>
            </w:tcBorders>
            <w:shd w:val="clear" w:color="auto" w:fill="auto"/>
            <w:noWrap/>
            <w:vAlign w:val="bottom"/>
            <w:hideMark/>
          </w:tcPr>
          <w:p w14:paraId="3B2A368E"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17/02/2003</w:t>
            </w:r>
          </w:p>
        </w:tc>
        <w:tc>
          <w:tcPr>
            <w:tcW w:w="1080" w:type="dxa"/>
            <w:tcBorders>
              <w:top w:val="nil"/>
              <w:left w:val="nil"/>
              <w:bottom w:val="single" w:sz="4" w:space="0" w:color="auto"/>
              <w:right w:val="single" w:sz="4" w:space="0" w:color="auto"/>
            </w:tcBorders>
            <w:shd w:val="clear" w:color="auto" w:fill="auto"/>
            <w:noWrap/>
            <w:vAlign w:val="bottom"/>
            <w:hideMark/>
          </w:tcPr>
          <w:p w14:paraId="5D7BAB6B"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4.683,75</w:t>
            </w:r>
          </w:p>
        </w:tc>
        <w:tc>
          <w:tcPr>
            <w:tcW w:w="687" w:type="dxa"/>
            <w:tcBorders>
              <w:top w:val="nil"/>
              <w:left w:val="nil"/>
              <w:bottom w:val="single" w:sz="4" w:space="0" w:color="auto"/>
              <w:right w:val="nil"/>
            </w:tcBorders>
            <w:shd w:val="clear" w:color="auto" w:fill="auto"/>
            <w:noWrap/>
            <w:vAlign w:val="bottom"/>
            <w:hideMark/>
          </w:tcPr>
          <w:p w14:paraId="6C6C0CCC"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100%</w:t>
            </w:r>
          </w:p>
        </w:tc>
        <w:tc>
          <w:tcPr>
            <w:tcW w:w="928" w:type="dxa"/>
            <w:tcBorders>
              <w:top w:val="nil"/>
              <w:left w:val="nil"/>
              <w:bottom w:val="single" w:sz="4" w:space="0" w:color="auto"/>
              <w:right w:val="single" w:sz="4" w:space="0" w:color="auto"/>
            </w:tcBorders>
            <w:shd w:val="clear" w:color="auto" w:fill="auto"/>
            <w:noWrap/>
            <w:vAlign w:val="bottom"/>
            <w:hideMark/>
          </w:tcPr>
          <w:p w14:paraId="0833E1A7"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4.683,75</w:t>
            </w:r>
          </w:p>
        </w:tc>
        <w:tc>
          <w:tcPr>
            <w:tcW w:w="632" w:type="dxa"/>
            <w:tcBorders>
              <w:top w:val="nil"/>
              <w:left w:val="nil"/>
              <w:bottom w:val="nil"/>
              <w:right w:val="nil"/>
            </w:tcBorders>
            <w:shd w:val="clear" w:color="000000" w:fill="FFFF00"/>
            <w:noWrap/>
            <w:vAlign w:val="bottom"/>
            <w:hideMark/>
          </w:tcPr>
          <w:p w14:paraId="49647ABD"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0%</w:t>
            </w:r>
          </w:p>
        </w:tc>
        <w:tc>
          <w:tcPr>
            <w:tcW w:w="933" w:type="dxa"/>
            <w:tcBorders>
              <w:top w:val="nil"/>
              <w:left w:val="nil"/>
              <w:bottom w:val="nil"/>
              <w:right w:val="single" w:sz="4" w:space="0" w:color="auto"/>
            </w:tcBorders>
            <w:shd w:val="clear" w:color="000000" w:fill="FFFF00"/>
            <w:noWrap/>
            <w:vAlign w:val="bottom"/>
            <w:hideMark/>
          </w:tcPr>
          <w:p w14:paraId="2EC591E8"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0,00</w:t>
            </w:r>
          </w:p>
        </w:tc>
      </w:tr>
      <w:tr w:rsidR="00097C3A" w:rsidRPr="00097C3A" w14:paraId="7EF7F139" w14:textId="77777777" w:rsidTr="00097C3A">
        <w:trPr>
          <w:trHeight w:val="288"/>
        </w:trPr>
        <w:tc>
          <w:tcPr>
            <w:tcW w:w="2580" w:type="dxa"/>
            <w:tcBorders>
              <w:top w:val="nil"/>
              <w:left w:val="single" w:sz="4" w:space="0" w:color="auto"/>
              <w:bottom w:val="single" w:sz="4" w:space="0" w:color="auto"/>
              <w:right w:val="nil"/>
            </w:tcBorders>
            <w:shd w:val="clear" w:color="auto" w:fill="auto"/>
            <w:noWrap/>
            <w:vAlign w:val="bottom"/>
            <w:hideMark/>
          </w:tcPr>
          <w:p w14:paraId="2491D89E" w14:textId="77777777" w:rsidR="00097C3A" w:rsidRPr="00097C3A" w:rsidRDefault="00097C3A" w:rsidP="00BB1A90">
            <w:pPr>
              <w:spacing w:after="0" w:line="240" w:lineRule="auto"/>
              <w:jc w:val="lef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suma gastos</w:t>
            </w:r>
          </w:p>
        </w:tc>
        <w:tc>
          <w:tcPr>
            <w:tcW w:w="1202" w:type="dxa"/>
            <w:tcBorders>
              <w:top w:val="nil"/>
              <w:left w:val="nil"/>
              <w:bottom w:val="single" w:sz="4" w:space="0" w:color="auto"/>
              <w:right w:val="nil"/>
            </w:tcBorders>
            <w:shd w:val="clear" w:color="auto" w:fill="auto"/>
            <w:noWrap/>
            <w:vAlign w:val="bottom"/>
            <w:hideMark/>
          </w:tcPr>
          <w:p w14:paraId="0A2FF9C5" w14:textId="77777777" w:rsidR="00097C3A" w:rsidRPr="00097C3A" w:rsidRDefault="00097C3A" w:rsidP="00BB1A90">
            <w:pPr>
              <w:spacing w:after="0" w:line="240" w:lineRule="auto"/>
              <w:jc w:val="lef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 </w:t>
            </w:r>
          </w:p>
        </w:tc>
        <w:tc>
          <w:tcPr>
            <w:tcW w:w="1080" w:type="dxa"/>
            <w:tcBorders>
              <w:top w:val="nil"/>
              <w:left w:val="nil"/>
              <w:bottom w:val="single" w:sz="4" w:space="0" w:color="auto"/>
              <w:right w:val="single" w:sz="4" w:space="0" w:color="auto"/>
            </w:tcBorders>
            <w:shd w:val="clear" w:color="auto" w:fill="auto"/>
            <w:noWrap/>
            <w:vAlign w:val="bottom"/>
            <w:hideMark/>
          </w:tcPr>
          <w:p w14:paraId="6D8DC245"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6.744,93</w:t>
            </w:r>
          </w:p>
        </w:tc>
        <w:tc>
          <w:tcPr>
            <w:tcW w:w="687" w:type="dxa"/>
            <w:tcBorders>
              <w:top w:val="nil"/>
              <w:left w:val="nil"/>
              <w:bottom w:val="single" w:sz="4" w:space="0" w:color="auto"/>
              <w:right w:val="nil"/>
            </w:tcBorders>
            <w:shd w:val="clear" w:color="auto" w:fill="auto"/>
            <w:noWrap/>
            <w:vAlign w:val="bottom"/>
            <w:hideMark/>
          </w:tcPr>
          <w:p w14:paraId="7262CABF"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73,6%</w:t>
            </w:r>
          </w:p>
        </w:tc>
        <w:tc>
          <w:tcPr>
            <w:tcW w:w="928" w:type="dxa"/>
            <w:tcBorders>
              <w:top w:val="nil"/>
              <w:left w:val="nil"/>
              <w:bottom w:val="single" w:sz="4" w:space="0" w:color="auto"/>
              <w:right w:val="single" w:sz="4" w:space="0" w:color="auto"/>
            </w:tcBorders>
            <w:shd w:val="clear" w:color="auto" w:fill="auto"/>
            <w:noWrap/>
            <w:vAlign w:val="bottom"/>
            <w:hideMark/>
          </w:tcPr>
          <w:p w14:paraId="530900FD"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4.965,38</w:t>
            </w:r>
          </w:p>
        </w:tc>
        <w:tc>
          <w:tcPr>
            <w:tcW w:w="632" w:type="dxa"/>
            <w:tcBorders>
              <w:top w:val="single" w:sz="4" w:space="0" w:color="auto"/>
              <w:left w:val="nil"/>
              <w:bottom w:val="single" w:sz="4" w:space="0" w:color="auto"/>
              <w:right w:val="nil"/>
            </w:tcBorders>
            <w:shd w:val="clear" w:color="000000" w:fill="FFFF00"/>
            <w:noWrap/>
            <w:vAlign w:val="bottom"/>
            <w:hideMark/>
          </w:tcPr>
          <w:p w14:paraId="1B77D0A4" w14:textId="77777777" w:rsidR="00097C3A" w:rsidRPr="00097C3A" w:rsidRDefault="00097C3A" w:rsidP="00BB1A90">
            <w:pPr>
              <w:spacing w:after="0" w:line="240" w:lineRule="auto"/>
              <w:jc w:val="lef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 </w:t>
            </w:r>
          </w:p>
        </w:tc>
        <w:tc>
          <w:tcPr>
            <w:tcW w:w="933" w:type="dxa"/>
            <w:tcBorders>
              <w:top w:val="single" w:sz="4" w:space="0" w:color="auto"/>
              <w:left w:val="nil"/>
              <w:bottom w:val="single" w:sz="4" w:space="0" w:color="auto"/>
              <w:right w:val="single" w:sz="4" w:space="0" w:color="auto"/>
            </w:tcBorders>
            <w:shd w:val="clear" w:color="000000" w:fill="FFFF00"/>
            <w:noWrap/>
            <w:vAlign w:val="bottom"/>
            <w:hideMark/>
          </w:tcPr>
          <w:p w14:paraId="5E8BD82D"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1.779,55</w:t>
            </w:r>
          </w:p>
        </w:tc>
      </w:tr>
      <w:tr w:rsidR="00097C3A" w:rsidRPr="00097C3A" w14:paraId="1343ACF3" w14:textId="77777777" w:rsidTr="00097C3A">
        <w:trPr>
          <w:trHeight w:val="300"/>
        </w:trPr>
        <w:tc>
          <w:tcPr>
            <w:tcW w:w="2580" w:type="dxa"/>
            <w:tcBorders>
              <w:top w:val="nil"/>
              <w:left w:val="single" w:sz="4" w:space="0" w:color="auto"/>
              <w:bottom w:val="nil"/>
              <w:right w:val="nil"/>
            </w:tcBorders>
            <w:shd w:val="clear" w:color="auto" w:fill="auto"/>
            <w:noWrap/>
            <w:vAlign w:val="bottom"/>
            <w:hideMark/>
          </w:tcPr>
          <w:p w14:paraId="08EE11EB" w14:textId="77777777" w:rsidR="00097C3A" w:rsidRPr="00097C3A" w:rsidRDefault="00097C3A" w:rsidP="00BB1A90">
            <w:pPr>
              <w:spacing w:after="0" w:line="240" w:lineRule="auto"/>
              <w:jc w:val="lef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comisión apertura</w:t>
            </w:r>
          </w:p>
        </w:tc>
        <w:tc>
          <w:tcPr>
            <w:tcW w:w="1202" w:type="dxa"/>
            <w:tcBorders>
              <w:top w:val="nil"/>
              <w:left w:val="nil"/>
              <w:bottom w:val="nil"/>
              <w:right w:val="nil"/>
            </w:tcBorders>
            <w:shd w:val="clear" w:color="auto" w:fill="auto"/>
            <w:noWrap/>
            <w:vAlign w:val="bottom"/>
            <w:hideMark/>
          </w:tcPr>
          <w:p w14:paraId="303221BD"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22/01/2003</w:t>
            </w:r>
          </w:p>
        </w:tc>
        <w:tc>
          <w:tcPr>
            <w:tcW w:w="1080" w:type="dxa"/>
            <w:tcBorders>
              <w:top w:val="nil"/>
              <w:left w:val="nil"/>
              <w:bottom w:val="nil"/>
              <w:right w:val="nil"/>
            </w:tcBorders>
            <w:shd w:val="clear" w:color="auto" w:fill="auto"/>
            <w:noWrap/>
            <w:vAlign w:val="bottom"/>
            <w:hideMark/>
          </w:tcPr>
          <w:p w14:paraId="0E452070"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660,00</w:t>
            </w:r>
          </w:p>
        </w:tc>
        <w:tc>
          <w:tcPr>
            <w:tcW w:w="687" w:type="dxa"/>
            <w:tcBorders>
              <w:top w:val="nil"/>
              <w:left w:val="single" w:sz="4" w:space="0" w:color="auto"/>
              <w:bottom w:val="nil"/>
              <w:right w:val="nil"/>
            </w:tcBorders>
            <w:shd w:val="clear" w:color="auto" w:fill="auto"/>
            <w:noWrap/>
            <w:vAlign w:val="bottom"/>
            <w:hideMark/>
          </w:tcPr>
          <w:p w14:paraId="0CFA14D3"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0%</w:t>
            </w:r>
          </w:p>
        </w:tc>
        <w:tc>
          <w:tcPr>
            <w:tcW w:w="928" w:type="dxa"/>
            <w:tcBorders>
              <w:top w:val="nil"/>
              <w:left w:val="nil"/>
              <w:bottom w:val="nil"/>
              <w:right w:val="single" w:sz="4" w:space="0" w:color="auto"/>
            </w:tcBorders>
            <w:shd w:val="clear" w:color="auto" w:fill="auto"/>
            <w:noWrap/>
            <w:vAlign w:val="bottom"/>
            <w:hideMark/>
          </w:tcPr>
          <w:p w14:paraId="70FD959A"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0,00</w:t>
            </w:r>
          </w:p>
        </w:tc>
        <w:tc>
          <w:tcPr>
            <w:tcW w:w="632" w:type="dxa"/>
            <w:tcBorders>
              <w:top w:val="nil"/>
              <w:left w:val="nil"/>
              <w:bottom w:val="nil"/>
              <w:right w:val="nil"/>
            </w:tcBorders>
            <w:shd w:val="clear" w:color="000000" w:fill="FFFF00"/>
            <w:noWrap/>
            <w:vAlign w:val="bottom"/>
            <w:hideMark/>
          </w:tcPr>
          <w:p w14:paraId="4B612291"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100%</w:t>
            </w:r>
          </w:p>
        </w:tc>
        <w:tc>
          <w:tcPr>
            <w:tcW w:w="933" w:type="dxa"/>
            <w:tcBorders>
              <w:top w:val="nil"/>
              <w:left w:val="nil"/>
              <w:bottom w:val="nil"/>
              <w:right w:val="single" w:sz="4" w:space="0" w:color="auto"/>
            </w:tcBorders>
            <w:shd w:val="clear" w:color="000000" w:fill="FFFF00"/>
            <w:noWrap/>
            <w:vAlign w:val="bottom"/>
            <w:hideMark/>
          </w:tcPr>
          <w:p w14:paraId="6877E49F"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660,00</w:t>
            </w:r>
          </w:p>
        </w:tc>
      </w:tr>
      <w:tr w:rsidR="00097C3A" w:rsidRPr="00097C3A" w14:paraId="18121220" w14:textId="77777777" w:rsidTr="00097C3A">
        <w:trPr>
          <w:trHeight w:val="300"/>
        </w:trPr>
        <w:tc>
          <w:tcPr>
            <w:tcW w:w="2580" w:type="dxa"/>
            <w:tcBorders>
              <w:top w:val="single" w:sz="8" w:space="0" w:color="auto"/>
              <w:left w:val="single" w:sz="8" w:space="0" w:color="auto"/>
              <w:bottom w:val="single" w:sz="8" w:space="0" w:color="auto"/>
              <w:right w:val="nil"/>
            </w:tcBorders>
            <w:shd w:val="clear" w:color="auto" w:fill="auto"/>
            <w:noWrap/>
            <w:vAlign w:val="bottom"/>
            <w:hideMark/>
          </w:tcPr>
          <w:p w14:paraId="264EA96A" w14:textId="77777777" w:rsidR="00097C3A" w:rsidRPr="00097C3A" w:rsidRDefault="00097C3A" w:rsidP="00BB1A90">
            <w:pPr>
              <w:spacing w:after="0" w:line="240" w:lineRule="auto"/>
              <w:jc w:val="left"/>
              <w:rPr>
                <w:rFonts w:ascii="Calibri" w:eastAsia="Times New Roman" w:hAnsi="Calibri" w:cs="Calibri"/>
                <w:b/>
                <w:bCs/>
                <w:sz w:val="22"/>
                <w:szCs w:val="22"/>
                <w:lang w:eastAsia="es-ES"/>
              </w:rPr>
            </w:pPr>
            <w:r w:rsidRPr="00097C3A">
              <w:rPr>
                <w:rFonts w:ascii="Calibri" w:eastAsia="Times New Roman" w:hAnsi="Calibri" w:cs="Calibri"/>
                <w:b/>
                <w:bCs/>
                <w:sz w:val="22"/>
                <w:szCs w:val="22"/>
                <w:lang w:eastAsia="es-ES"/>
              </w:rPr>
              <w:t>suma gastos</w:t>
            </w:r>
          </w:p>
        </w:tc>
        <w:tc>
          <w:tcPr>
            <w:tcW w:w="1202" w:type="dxa"/>
            <w:tcBorders>
              <w:top w:val="single" w:sz="8" w:space="0" w:color="auto"/>
              <w:left w:val="nil"/>
              <w:bottom w:val="single" w:sz="8" w:space="0" w:color="auto"/>
              <w:right w:val="nil"/>
            </w:tcBorders>
            <w:shd w:val="clear" w:color="auto" w:fill="auto"/>
            <w:noWrap/>
            <w:vAlign w:val="bottom"/>
            <w:hideMark/>
          </w:tcPr>
          <w:p w14:paraId="32C617C2" w14:textId="77777777" w:rsidR="00097C3A" w:rsidRPr="00097C3A" w:rsidRDefault="00097C3A" w:rsidP="00BB1A90">
            <w:pPr>
              <w:spacing w:after="0" w:line="240" w:lineRule="auto"/>
              <w:jc w:val="lef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 </w:t>
            </w:r>
          </w:p>
        </w:tc>
        <w:tc>
          <w:tcPr>
            <w:tcW w:w="1080" w:type="dxa"/>
            <w:tcBorders>
              <w:top w:val="single" w:sz="8" w:space="0" w:color="auto"/>
              <w:left w:val="nil"/>
              <w:bottom w:val="single" w:sz="8" w:space="0" w:color="auto"/>
              <w:right w:val="single" w:sz="4" w:space="0" w:color="auto"/>
            </w:tcBorders>
            <w:shd w:val="clear" w:color="auto" w:fill="auto"/>
            <w:noWrap/>
            <w:vAlign w:val="bottom"/>
            <w:hideMark/>
          </w:tcPr>
          <w:p w14:paraId="748A358E"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7.404,93</w:t>
            </w:r>
          </w:p>
        </w:tc>
        <w:tc>
          <w:tcPr>
            <w:tcW w:w="687" w:type="dxa"/>
            <w:tcBorders>
              <w:top w:val="single" w:sz="8" w:space="0" w:color="auto"/>
              <w:left w:val="nil"/>
              <w:bottom w:val="single" w:sz="8" w:space="0" w:color="auto"/>
              <w:right w:val="nil"/>
            </w:tcBorders>
            <w:shd w:val="clear" w:color="auto" w:fill="auto"/>
            <w:noWrap/>
            <w:vAlign w:val="bottom"/>
            <w:hideMark/>
          </w:tcPr>
          <w:p w14:paraId="75357EBF" w14:textId="77777777" w:rsidR="00097C3A" w:rsidRPr="00097C3A" w:rsidRDefault="00097C3A" w:rsidP="00BB1A90">
            <w:pPr>
              <w:spacing w:after="0" w:line="240" w:lineRule="auto"/>
              <w:jc w:val="lef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 </w:t>
            </w:r>
          </w:p>
        </w:tc>
        <w:tc>
          <w:tcPr>
            <w:tcW w:w="928" w:type="dxa"/>
            <w:tcBorders>
              <w:top w:val="single" w:sz="8" w:space="0" w:color="auto"/>
              <w:left w:val="nil"/>
              <w:bottom w:val="single" w:sz="8" w:space="0" w:color="auto"/>
              <w:right w:val="single" w:sz="4" w:space="0" w:color="auto"/>
            </w:tcBorders>
            <w:shd w:val="clear" w:color="auto" w:fill="auto"/>
            <w:noWrap/>
            <w:vAlign w:val="bottom"/>
            <w:hideMark/>
          </w:tcPr>
          <w:p w14:paraId="204C5076"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4.965,38</w:t>
            </w:r>
          </w:p>
        </w:tc>
        <w:tc>
          <w:tcPr>
            <w:tcW w:w="632" w:type="dxa"/>
            <w:tcBorders>
              <w:top w:val="single" w:sz="8" w:space="0" w:color="auto"/>
              <w:left w:val="nil"/>
              <w:bottom w:val="single" w:sz="8" w:space="0" w:color="auto"/>
              <w:right w:val="nil"/>
            </w:tcBorders>
            <w:shd w:val="clear" w:color="000000" w:fill="FFFF00"/>
            <w:noWrap/>
            <w:vAlign w:val="bottom"/>
            <w:hideMark/>
          </w:tcPr>
          <w:p w14:paraId="2AB78813" w14:textId="77777777" w:rsidR="00097C3A" w:rsidRPr="00097C3A" w:rsidRDefault="00097C3A" w:rsidP="00BB1A90">
            <w:pPr>
              <w:spacing w:after="0" w:line="240" w:lineRule="auto"/>
              <w:jc w:val="lef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 </w:t>
            </w:r>
          </w:p>
        </w:tc>
        <w:tc>
          <w:tcPr>
            <w:tcW w:w="933" w:type="dxa"/>
            <w:tcBorders>
              <w:top w:val="single" w:sz="8" w:space="0" w:color="auto"/>
              <w:left w:val="nil"/>
              <w:bottom w:val="single" w:sz="8" w:space="0" w:color="auto"/>
              <w:right w:val="single" w:sz="4" w:space="0" w:color="auto"/>
            </w:tcBorders>
            <w:shd w:val="clear" w:color="000000" w:fill="FFFF00"/>
            <w:noWrap/>
            <w:vAlign w:val="bottom"/>
            <w:hideMark/>
          </w:tcPr>
          <w:p w14:paraId="5DEC0622" w14:textId="77777777" w:rsidR="00097C3A" w:rsidRPr="00097C3A" w:rsidRDefault="00097C3A" w:rsidP="00BB1A90">
            <w:pPr>
              <w:spacing w:after="0" w:line="240" w:lineRule="auto"/>
              <w:jc w:val="right"/>
              <w:rPr>
                <w:rFonts w:ascii="Calibri" w:eastAsia="Times New Roman" w:hAnsi="Calibri" w:cs="Calibri"/>
                <w:sz w:val="22"/>
                <w:szCs w:val="22"/>
                <w:lang w:eastAsia="es-ES"/>
              </w:rPr>
            </w:pPr>
            <w:r w:rsidRPr="00097C3A">
              <w:rPr>
                <w:rFonts w:ascii="Calibri" w:eastAsia="Times New Roman" w:hAnsi="Calibri" w:cs="Calibri"/>
                <w:sz w:val="22"/>
                <w:szCs w:val="22"/>
                <w:lang w:eastAsia="es-ES"/>
              </w:rPr>
              <w:t>2.439,55</w:t>
            </w:r>
          </w:p>
        </w:tc>
      </w:tr>
    </w:tbl>
    <w:p w14:paraId="3B0637A4" w14:textId="77777777" w:rsidR="00CE16E9" w:rsidRPr="00097C3A" w:rsidRDefault="00CE16E9" w:rsidP="005D17B1">
      <w:pPr>
        <w:pStyle w:val="Sinespaciado"/>
        <w:rPr>
          <w:rFonts w:asciiTheme="minorHAnsi" w:hAnsiTheme="minorHAnsi" w:cstheme="minorHAnsi"/>
          <w:bCs/>
          <w:sz w:val="22"/>
          <w:szCs w:val="22"/>
        </w:rPr>
      </w:pPr>
    </w:p>
    <w:p w14:paraId="0C9B7114" w14:textId="46591C56" w:rsidR="005E14B9" w:rsidRPr="00A25374" w:rsidRDefault="005E14B9" w:rsidP="00A25374">
      <w:pPr>
        <w:pStyle w:val="Sinespaciado"/>
        <w:rPr>
          <w:rFonts w:asciiTheme="minorHAnsi" w:hAnsiTheme="minorHAnsi" w:cstheme="minorHAnsi"/>
          <w:bCs/>
          <w:sz w:val="22"/>
          <w:szCs w:val="22"/>
        </w:rPr>
      </w:pPr>
      <w:r w:rsidRPr="00A25374">
        <w:rPr>
          <w:rFonts w:asciiTheme="minorHAnsi" w:hAnsiTheme="minorHAnsi" w:cstheme="minorHAnsi"/>
          <w:bCs/>
          <w:sz w:val="22"/>
          <w:szCs w:val="22"/>
        </w:rPr>
        <w:t xml:space="preserve">El importe reclamado por los conceptos </w:t>
      </w:r>
      <w:r w:rsidR="00FA4E8F" w:rsidRPr="00A25374">
        <w:rPr>
          <w:rFonts w:asciiTheme="minorHAnsi" w:hAnsiTheme="minorHAnsi" w:cstheme="minorHAnsi"/>
          <w:bCs/>
          <w:sz w:val="22"/>
          <w:szCs w:val="22"/>
        </w:rPr>
        <w:t>detallados</w:t>
      </w:r>
      <w:r w:rsidR="004F67EE" w:rsidRPr="004F67EE">
        <w:rPr>
          <w:rFonts w:asciiTheme="minorHAnsi" w:hAnsiTheme="minorHAnsi" w:cstheme="minorHAnsi"/>
          <w:bCs/>
          <w:sz w:val="22"/>
          <w:szCs w:val="22"/>
        </w:rPr>
        <w:t xml:space="preserve"> </w:t>
      </w:r>
      <w:r w:rsidR="004F67EE" w:rsidRPr="00A25374">
        <w:rPr>
          <w:rFonts w:asciiTheme="minorHAnsi" w:hAnsiTheme="minorHAnsi" w:cstheme="minorHAnsi"/>
          <w:bCs/>
          <w:sz w:val="22"/>
          <w:szCs w:val="22"/>
        </w:rPr>
        <w:t>anteriormente</w:t>
      </w:r>
      <w:r w:rsidR="00BC26CA">
        <w:rPr>
          <w:rFonts w:asciiTheme="minorHAnsi" w:hAnsiTheme="minorHAnsi" w:cstheme="minorHAnsi"/>
          <w:bCs/>
          <w:sz w:val="22"/>
          <w:szCs w:val="22"/>
        </w:rPr>
        <w:t>, en vía amistosa</w:t>
      </w:r>
      <w:r w:rsidR="00EA3599">
        <w:rPr>
          <w:rFonts w:asciiTheme="minorHAnsi" w:hAnsiTheme="minorHAnsi" w:cstheme="minorHAnsi"/>
          <w:bCs/>
          <w:sz w:val="22"/>
          <w:szCs w:val="22"/>
        </w:rPr>
        <w:t xml:space="preserve"> y sin intereses</w:t>
      </w:r>
      <w:r w:rsidR="004F67EE">
        <w:rPr>
          <w:rFonts w:asciiTheme="minorHAnsi" w:hAnsiTheme="minorHAnsi" w:cstheme="minorHAnsi"/>
          <w:bCs/>
          <w:sz w:val="22"/>
          <w:szCs w:val="22"/>
        </w:rPr>
        <w:t>,</w:t>
      </w:r>
      <w:r w:rsidR="00FA4E8F" w:rsidRPr="00A25374">
        <w:rPr>
          <w:rFonts w:asciiTheme="minorHAnsi" w:hAnsiTheme="minorHAnsi" w:cstheme="minorHAnsi"/>
          <w:bCs/>
          <w:sz w:val="22"/>
          <w:szCs w:val="22"/>
        </w:rPr>
        <w:t xml:space="preserve"> asciende a </w:t>
      </w:r>
      <w:r w:rsidR="00BB1A90" w:rsidRPr="00EA3599">
        <w:rPr>
          <w:rFonts w:asciiTheme="minorHAnsi" w:hAnsiTheme="minorHAnsi" w:cstheme="minorHAnsi"/>
          <w:b/>
          <w:sz w:val="22"/>
          <w:szCs w:val="22"/>
          <w:u w:val="single"/>
        </w:rPr>
        <w:t>2.439,55</w:t>
      </w:r>
      <w:r w:rsidR="00FA4E8F" w:rsidRPr="00EA3599">
        <w:rPr>
          <w:rFonts w:asciiTheme="minorHAnsi" w:hAnsiTheme="minorHAnsi" w:cstheme="minorHAnsi"/>
          <w:b/>
          <w:sz w:val="22"/>
          <w:szCs w:val="22"/>
          <w:u w:val="single"/>
        </w:rPr>
        <w:t xml:space="preserve"> euros</w:t>
      </w:r>
      <w:r w:rsidR="00EA35A8" w:rsidRPr="00A25374">
        <w:rPr>
          <w:rFonts w:asciiTheme="minorHAnsi" w:hAnsiTheme="minorHAnsi" w:cstheme="minorHAnsi"/>
          <w:bCs/>
          <w:sz w:val="22"/>
          <w:szCs w:val="22"/>
        </w:rPr>
        <w:t xml:space="preserve"> y solicito su devolución mediante transferencia a la cuenta bancaria </w:t>
      </w:r>
      <w:r w:rsidR="004F67EE" w:rsidRPr="00A25374">
        <w:rPr>
          <w:rFonts w:asciiTheme="minorHAnsi" w:hAnsiTheme="minorHAnsi" w:cstheme="minorHAnsi"/>
          <w:bCs/>
          <w:sz w:val="22"/>
          <w:szCs w:val="22"/>
        </w:rPr>
        <w:t xml:space="preserve">en su entidad </w:t>
      </w:r>
      <w:r w:rsidR="004F67EE">
        <w:rPr>
          <w:rFonts w:asciiTheme="minorHAnsi" w:hAnsiTheme="minorHAnsi" w:cstheme="minorHAnsi"/>
          <w:bCs/>
          <w:sz w:val="22"/>
          <w:szCs w:val="22"/>
        </w:rPr>
        <w:t xml:space="preserve">número </w:t>
      </w:r>
      <w:proofErr w:type="spellStart"/>
      <w:r w:rsidR="004D1C52">
        <w:rPr>
          <w:rFonts w:asciiTheme="minorHAnsi" w:hAnsiTheme="minorHAnsi" w:cstheme="minorHAnsi"/>
          <w:bCs/>
          <w:sz w:val="22"/>
          <w:szCs w:val="22"/>
        </w:rPr>
        <w:t>xxxxxxxxxxxxxxxxx</w:t>
      </w:r>
      <w:proofErr w:type="spellEnd"/>
      <w:r w:rsidR="00A25374" w:rsidRPr="00A25374">
        <w:rPr>
          <w:rFonts w:asciiTheme="minorHAnsi" w:hAnsiTheme="minorHAnsi" w:cstheme="minorHAnsi"/>
          <w:bCs/>
          <w:sz w:val="22"/>
          <w:szCs w:val="22"/>
        </w:rPr>
        <w:t xml:space="preserve"> </w:t>
      </w:r>
      <w:r w:rsidR="00EA35A8" w:rsidRPr="00A25374">
        <w:rPr>
          <w:rFonts w:asciiTheme="minorHAnsi" w:hAnsiTheme="minorHAnsi" w:cstheme="minorHAnsi"/>
          <w:bCs/>
          <w:sz w:val="22"/>
          <w:szCs w:val="22"/>
        </w:rPr>
        <w:t>de la que soy tit</w:t>
      </w:r>
      <w:r w:rsidR="00A25374" w:rsidRPr="00A25374">
        <w:rPr>
          <w:rFonts w:asciiTheme="minorHAnsi" w:hAnsiTheme="minorHAnsi" w:cstheme="minorHAnsi"/>
          <w:bCs/>
          <w:sz w:val="22"/>
          <w:szCs w:val="22"/>
        </w:rPr>
        <w:t>ular</w:t>
      </w:r>
      <w:r w:rsidR="004F67EE">
        <w:rPr>
          <w:rFonts w:asciiTheme="minorHAnsi" w:hAnsiTheme="minorHAnsi" w:cstheme="minorHAnsi"/>
          <w:bCs/>
          <w:sz w:val="22"/>
          <w:szCs w:val="22"/>
        </w:rPr>
        <w:t>.</w:t>
      </w:r>
    </w:p>
    <w:p w14:paraId="0BE65F56" w14:textId="77777777" w:rsidR="00CE16E9" w:rsidRDefault="00CE16E9" w:rsidP="005D17B1">
      <w:pPr>
        <w:pStyle w:val="Sinespaciado"/>
        <w:rPr>
          <w:rFonts w:asciiTheme="minorHAnsi" w:hAnsiTheme="minorHAnsi" w:cstheme="minorHAnsi"/>
          <w:bCs/>
          <w:sz w:val="22"/>
          <w:szCs w:val="22"/>
        </w:rPr>
      </w:pPr>
    </w:p>
    <w:p w14:paraId="2A1BF9C4" w14:textId="5C7244DD" w:rsidR="00761C43" w:rsidRPr="00761C43" w:rsidRDefault="00761C43" w:rsidP="005D17B1">
      <w:pPr>
        <w:pStyle w:val="Sinespaciado"/>
        <w:rPr>
          <w:rFonts w:asciiTheme="minorHAnsi" w:hAnsiTheme="minorHAnsi" w:cstheme="minorHAnsi"/>
          <w:bCs/>
          <w:sz w:val="22"/>
          <w:szCs w:val="22"/>
        </w:rPr>
      </w:pPr>
      <w:r w:rsidRPr="00761C43">
        <w:rPr>
          <w:rFonts w:asciiTheme="minorHAnsi" w:hAnsiTheme="minorHAnsi" w:cstheme="minorHAnsi"/>
          <w:bCs/>
          <w:sz w:val="22"/>
          <w:szCs w:val="22"/>
        </w:rPr>
        <w:t>Sin otro particular, confiando en no verme obligado a considerar otras acciones y esperando a que acceda</w:t>
      </w:r>
      <w:r w:rsidR="004F67EE">
        <w:rPr>
          <w:rFonts w:asciiTheme="minorHAnsi" w:hAnsiTheme="minorHAnsi" w:cstheme="minorHAnsi"/>
          <w:bCs/>
          <w:sz w:val="22"/>
          <w:szCs w:val="22"/>
        </w:rPr>
        <w:t>n</w:t>
      </w:r>
      <w:r w:rsidRPr="00761C43">
        <w:rPr>
          <w:rFonts w:asciiTheme="minorHAnsi" w:hAnsiTheme="minorHAnsi" w:cstheme="minorHAnsi"/>
          <w:bCs/>
          <w:sz w:val="22"/>
          <w:szCs w:val="22"/>
        </w:rPr>
        <w:t xml:space="preserve"> a mis peticiones, reciba</w:t>
      </w:r>
      <w:r w:rsidR="004F67EE">
        <w:rPr>
          <w:rFonts w:asciiTheme="minorHAnsi" w:hAnsiTheme="minorHAnsi" w:cstheme="minorHAnsi"/>
          <w:bCs/>
          <w:sz w:val="22"/>
          <w:szCs w:val="22"/>
        </w:rPr>
        <w:t>n</w:t>
      </w:r>
      <w:r w:rsidRPr="00761C43">
        <w:rPr>
          <w:rFonts w:asciiTheme="minorHAnsi" w:hAnsiTheme="minorHAnsi" w:cstheme="minorHAnsi"/>
          <w:bCs/>
          <w:sz w:val="22"/>
          <w:szCs w:val="22"/>
        </w:rPr>
        <w:t xml:space="preserve"> un cordial saludo</w:t>
      </w:r>
    </w:p>
    <w:p w14:paraId="7D82A225" w14:textId="77777777" w:rsidR="004F67EE" w:rsidRDefault="004F67EE" w:rsidP="005D17B1">
      <w:pPr>
        <w:pStyle w:val="Sinespaciado"/>
        <w:rPr>
          <w:rFonts w:asciiTheme="minorHAnsi" w:hAnsiTheme="minorHAnsi" w:cstheme="minorHAnsi"/>
          <w:bCs/>
          <w:sz w:val="22"/>
          <w:szCs w:val="22"/>
        </w:rPr>
      </w:pPr>
    </w:p>
    <w:p w14:paraId="0E499791" w14:textId="26C8B98A" w:rsidR="00761C43" w:rsidRPr="00761C43" w:rsidRDefault="00761C43" w:rsidP="005D17B1">
      <w:pPr>
        <w:pStyle w:val="Sinespaciado"/>
        <w:rPr>
          <w:rFonts w:asciiTheme="minorHAnsi" w:hAnsiTheme="minorHAnsi" w:cstheme="minorHAnsi"/>
          <w:bCs/>
          <w:sz w:val="22"/>
          <w:szCs w:val="22"/>
        </w:rPr>
      </w:pPr>
      <w:r w:rsidRPr="00761C43">
        <w:rPr>
          <w:rFonts w:asciiTheme="minorHAnsi" w:hAnsiTheme="minorHAnsi" w:cstheme="minorHAnsi"/>
          <w:bCs/>
          <w:sz w:val="22"/>
          <w:szCs w:val="22"/>
        </w:rPr>
        <w:t>Atentamente,</w:t>
      </w:r>
    </w:p>
    <w:p w14:paraId="0AA8BB06" w14:textId="77777777" w:rsidR="004E52E6" w:rsidRDefault="004E52E6" w:rsidP="005D17B1">
      <w:pPr>
        <w:pStyle w:val="Sinespaciado"/>
        <w:rPr>
          <w:rFonts w:asciiTheme="minorHAnsi" w:hAnsiTheme="minorHAnsi" w:cstheme="minorHAnsi"/>
          <w:bCs/>
          <w:sz w:val="22"/>
          <w:szCs w:val="22"/>
        </w:rPr>
      </w:pPr>
    </w:p>
    <w:p w14:paraId="60CB96E1" w14:textId="77777777" w:rsidR="004F67EE" w:rsidRDefault="004F67EE" w:rsidP="005D17B1">
      <w:pPr>
        <w:pStyle w:val="Sinespaciado"/>
        <w:rPr>
          <w:rFonts w:asciiTheme="minorHAnsi" w:hAnsiTheme="minorHAnsi" w:cstheme="minorHAnsi"/>
          <w:bCs/>
          <w:sz w:val="22"/>
          <w:szCs w:val="22"/>
        </w:rPr>
      </w:pPr>
    </w:p>
    <w:p w14:paraId="217A1545" w14:textId="77777777" w:rsidR="004F67EE" w:rsidRDefault="004F67EE" w:rsidP="005D17B1">
      <w:pPr>
        <w:pStyle w:val="Sinespaciado"/>
        <w:rPr>
          <w:rFonts w:asciiTheme="minorHAnsi" w:hAnsiTheme="minorHAnsi" w:cstheme="minorHAnsi"/>
          <w:bCs/>
          <w:sz w:val="22"/>
          <w:szCs w:val="22"/>
        </w:rPr>
      </w:pPr>
    </w:p>
    <w:sectPr w:rsidR="004F67EE" w:rsidSect="003A56FC">
      <w:pgSz w:w="11906" w:h="16838"/>
      <w:pgMar w:top="709" w:right="170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91339"/>
    <w:multiLevelType w:val="multilevel"/>
    <w:tmpl w:val="686C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5219D"/>
    <w:multiLevelType w:val="multilevel"/>
    <w:tmpl w:val="716EEB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F21629"/>
    <w:multiLevelType w:val="multilevel"/>
    <w:tmpl w:val="C0923E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274E18"/>
    <w:multiLevelType w:val="hybridMultilevel"/>
    <w:tmpl w:val="8F96D7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B526C43"/>
    <w:multiLevelType w:val="multilevel"/>
    <w:tmpl w:val="41D28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FB39B4"/>
    <w:multiLevelType w:val="hybridMultilevel"/>
    <w:tmpl w:val="30A0B6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5936618"/>
    <w:multiLevelType w:val="multilevel"/>
    <w:tmpl w:val="0AFE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C67084"/>
    <w:multiLevelType w:val="multilevel"/>
    <w:tmpl w:val="86EA51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263C93"/>
    <w:multiLevelType w:val="multilevel"/>
    <w:tmpl w:val="14765D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001639">
    <w:abstractNumId w:val="3"/>
  </w:num>
  <w:num w:numId="2" w16cid:durableId="249242681">
    <w:abstractNumId w:val="4"/>
  </w:num>
  <w:num w:numId="3" w16cid:durableId="360479934">
    <w:abstractNumId w:val="7"/>
    <w:lvlOverride w:ilvl="0">
      <w:lvl w:ilvl="0">
        <w:numFmt w:val="decimal"/>
        <w:lvlText w:val="%1."/>
        <w:lvlJc w:val="left"/>
      </w:lvl>
    </w:lvlOverride>
  </w:num>
  <w:num w:numId="4" w16cid:durableId="182668769">
    <w:abstractNumId w:val="8"/>
    <w:lvlOverride w:ilvl="0">
      <w:lvl w:ilvl="0">
        <w:numFmt w:val="decimal"/>
        <w:lvlText w:val="%1."/>
        <w:lvlJc w:val="left"/>
      </w:lvl>
    </w:lvlOverride>
  </w:num>
  <w:num w:numId="5" w16cid:durableId="504982577">
    <w:abstractNumId w:val="1"/>
    <w:lvlOverride w:ilvl="0">
      <w:lvl w:ilvl="0">
        <w:numFmt w:val="decimal"/>
        <w:lvlText w:val="%1."/>
        <w:lvlJc w:val="left"/>
      </w:lvl>
    </w:lvlOverride>
  </w:num>
  <w:num w:numId="6" w16cid:durableId="770707827">
    <w:abstractNumId w:val="1"/>
    <w:lvlOverride w:ilvl="0">
      <w:lvl w:ilvl="0">
        <w:numFmt w:val="decimal"/>
        <w:lvlText w:val="%1."/>
        <w:lvlJc w:val="left"/>
      </w:lvl>
    </w:lvlOverride>
  </w:num>
  <w:num w:numId="7" w16cid:durableId="54352934">
    <w:abstractNumId w:val="1"/>
    <w:lvlOverride w:ilvl="0">
      <w:lvl w:ilvl="0">
        <w:numFmt w:val="decimal"/>
        <w:lvlText w:val="%1."/>
        <w:lvlJc w:val="left"/>
      </w:lvl>
    </w:lvlOverride>
  </w:num>
  <w:num w:numId="8" w16cid:durableId="2020309734">
    <w:abstractNumId w:val="1"/>
    <w:lvlOverride w:ilvl="0">
      <w:lvl w:ilvl="0">
        <w:numFmt w:val="decimal"/>
        <w:lvlText w:val="%1."/>
        <w:lvlJc w:val="left"/>
      </w:lvl>
    </w:lvlOverride>
  </w:num>
  <w:num w:numId="9" w16cid:durableId="1143891213">
    <w:abstractNumId w:val="6"/>
  </w:num>
  <w:num w:numId="10" w16cid:durableId="779448543">
    <w:abstractNumId w:val="0"/>
  </w:num>
  <w:num w:numId="11" w16cid:durableId="1505785071">
    <w:abstractNumId w:val="5"/>
  </w:num>
  <w:num w:numId="12" w16cid:durableId="423646215">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2E6"/>
    <w:rsid w:val="00007A7D"/>
    <w:rsid w:val="0002577F"/>
    <w:rsid w:val="00074723"/>
    <w:rsid w:val="00087723"/>
    <w:rsid w:val="000937B6"/>
    <w:rsid w:val="00097C3A"/>
    <w:rsid w:val="000E0811"/>
    <w:rsid w:val="000E3C43"/>
    <w:rsid w:val="000E5F7D"/>
    <w:rsid w:val="000E7C26"/>
    <w:rsid w:val="00123E9B"/>
    <w:rsid w:val="0017070D"/>
    <w:rsid w:val="001B077D"/>
    <w:rsid w:val="001B576D"/>
    <w:rsid w:val="002001DF"/>
    <w:rsid w:val="00261918"/>
    <w:rsid w:val="002B0831"/>
    <w:rsid w:val="002D670B"/>
    <w:rsid w:val="002F205F"/>
    <w:rsid w:val="00380F06"/>
    <w:rsid w:val="003960D4"/>
    <w:rsid w:val="003A56FC"/>
    <w:rsid w:val="003B0CF4"/>
    <w:rsid w:val="0040193E"/>
    <w:rsid w:val="004159A5"/>
    <w:rsid w:val="00423199"/>
    <w:rsid w:val="004A0EF9"/>
    <w:rsid w:val="004A200F"/>
    <w:rsid w:val="004B772F"/>
    <w:rsid w:val="004D1C52"/>
    <w:rsid w:val="004E52E6"/>
    <w:rsid w:val="004F1FFE"/>
    <w:rsid w:val="004F67EE"/>
    <w:rsid w:val="00506EF7"/>
    <w:rsid w:val="00517FE5"/>
    <w:rsid w:val="005752F6"/>
    <w:rsid w:val="00583086"/>
    <w:rsid w:val="005A2560"/>
    <w:rsid w:val="005A3479"/>
    <w:rsid w:val="005B6A62"/>
    <w:rsid w:val="005D17B1"/>
    <w:rsid w:val="005E14B9"/>
    <w:rsid w:val="00604E3E"/>
    <w:rsid w:val="0061204D"/>
    <w:rsid w:val="00761C43"/>
    <w:rsid w:val="00786407"/>
    <w:rsid w:val="007A08AA"/>
    <w:rsid w:val="007E3758"/>
    <w:rsid w:val="008814F0"/>
    <w:rsid w:val="00887007"/>
    <w:rsid w:val="008A31FA"/>
    <w:rsid w:val="008D1E78"/>
    <w:rsid w:val="00910167"/>
    <w:rsid w:val="0091699B"/>
    <w:rsid w:val="0093072B"/>
    <w:rsid w:val="00957D29"/>
    <w:rsid w:val="009B102A"/>
    <w:rsid w:val="009D4D90"/>
    <w:rsid w:val="009D4ED4"/>
    <w:rsid w:val="009F7472"/>
    <w:rsid w:val="00A25374"/>
    <w:rsid w:val="00A61514"/>
    <w:rsid w:val="00A67335"/>
    <w:rsid w:val="00A85EC5"/>
    <w:rsid w:val="00A87FBC"/>
    <w:rsid w:val="00B22DB8"/>
    <w:rsid w:val="00B27FFA"/>
    <w:rsid w:val="00B749D7"/>
    <w:rsid w:val="00BB1A90"/>
    <w:rsid w:val="00BC26CA"/>
    <w:rsid w:val="00BD3C9A"/>
    <w:rsid w:val="00C416CB"/>
    <w:rsid w:val="00C927D3"/>
    <w:rsid w:val="00CB6B8A"/>
    <w:rsid w:val="00CE16E9"/>
    <w:rsid w:val="00CE7228"/>
    <w:rsid w:val="00D016EF"/>
    <w:rsid w:val="00D416D7"/>
    <w:rsid w:val="00D714F5"/>
    <w:rsid w:val="00D826FE"/>
    <w:rsid w:val="00E002E6"/>
    <w:rsid w:val="00E16C4C"/>
    <w:rsid w:val="00E737B9"/>
    <w:rsid w:val="00E871DF"/>
    <w:rsid w:val="00EA00CB"/>
    <w:rsid w:val="00EA3599"/>
    <w:rsid w:val="00EA35A8"/>
    <w:rsid w:val="00EA5BAF"/>
    <w:rsid w:val="00EC47AB"/>
    <w:rsid w:val="00EF1C1C"/>
    <w:rsid w:val="00F84CC4"/>
    <w:rsid w:val="00F90FB3"/>
    <w:rsid w:val="00F92B9C"/>
    <w:rsid w:val="00F92BDB"/>
    <w:rsid w:val="00F93E3B"/>
    <w:rsid w:val="00F96BA9"/>
    <w:rsid w:val="00FA1948"/>
    <w:rsid w:val="00FA4E8F"/>
    <w:rsid w:val="00FA689A"/>
    <w:rsid w:val="00FB3E48"/>
    <w:rsid w:val="00FC63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13F9"/>
  <w15:chartTrackingRefBased/>
  <w15:docId w15:val="{11E0CD49-96DB-49F4-9395-C62F72055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76D"/>
    <w:pPr>
      <w:spacing w:after="200" w:line="276" w:lineRule="auto"/>
      <w:jc w:val="both"/>
    </w:pPr>
    <w:rPr>
      <w:rFonts w:ascii="Times New Roman" w:hAnsi="Times New Roman" w:cs="Times New Roman"/>
      <w:kern w:val="0"/>
      <w:sz w:val="26"/>
      <w:szCs w:val="26"/>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E52E6"/>
    <w:pPr>
      <w:spacing w:after="0" w:line="240" w:lineRule="auto"/>
      <w:jc w:val="both"/>
    </w:pPr>
    <w:rPr>
      <w:rFonts w:ascii="Times New Roman" w:hAnsi="Times New Roman" w:cs="Times New Roman"/>
      <w:kern w:val="0"/>
      <w:sz w:val="26"/>
      <w:szCs w:val="26"/>
      <w14:ligatures w14:val="none"/>
    </w:rPr>
  </w:style>
  <w:style w:type="paragraph" w:styleId="NormalWeb">
    <w:name w:val="Normal (Web)"/>
    <w:basedOn w:val="Normal"/>
    <w:uiPriority w:val="99"/>
    <w:semiHidden/>
    <w:unhideWhenUsed/>
    <w:rsid w:val="00CE16E9"/>
    <w:pPr>
      <w:spacing w:before="100" w:beforeAutospacing="1" w:after="100" w:afterAutospacing="1" w:line="240" w:lineRule="auto"/>
      <w:jc w:val="left"/>
    </w:pPr>
    <w:rPr>
      <w:rFonts w:eastAsia="Times New Roman"/>
      <w:sz w:val="24"/>
      <w:szCs w:val="24"/>
      <w:lang w:eastAsia="es-ES"/>
    </w:rPr>
  </w:style>
  <w:style w:type="character" w:styleId="Textoennegrita">
    <w:name w:val="Strong"/>
    <w:basedOn w:val="Fuentedeprrafopredeter"/>
    <w:uiPriority w:val="22"/>
    <w:qFormat/>
    <w:rsid w:val="00CE16E9"/>
    <w:rPr>
      <w:b/>
      <w:bCs/>
    </w:rPr>
  </w:style>
  <w:style w:type="paragraph" w:styleId="Prrafodelista">
    <w:name w:val="List Paragraph"/>
    <w:basedOn w:val="Normal"/>
    <w:uiPriority w:val="34"/>
    <w:qFormat/>
    <w:rsid w:val="001707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365435">
      <w:bodyDiv w:val="1"/>
      <w:marLeft w:val="0"/>
      <w:marRight w:val="0"/>
      <w:marTop w:val="0"/>
      <w:marBottom w:val="0"/>
      <w:divBdr>
        <w:top w:val="none" w:sz="0" w:space="0" w:color="auto"/>
        <w:left w:val="none" w:sz="0" w:space="0" w:color="auto"/>
        <w:bottom w:val="none" w:sz="0" w:space="0" w:color="auto"/>
        <w:right w:val="none" w:sz="0" w:space="0" w:color="auto"/>
      </w:divBdr>
    </w:div>
    <w:div w:id="661856621">
      <w:bodyDiv w:val="1"/>
      <w:marLeft w:val="0"/>
      <w:marRight w:val="0"/>
      <w:marTop w:val="0"/>
      <w:marBottom w:val="0"/>
      <w:divBdr>
        <w:top w:val="none" w:sz="0" w:space="0" w:color="auto"/>
        <w:left w:val="none" w:sz="0" w:space="0" w:color="auto"/>
        <w:bottom w:val="none" w:sz="0" w:space="0" w:color="auto"/>
        <w:right w:val="none" w:sz="0" w:space="0" w:color="auto"/>
      </w:divBdr>
    </w:div>
    <w:div w:id="1575167500">
      <w:bodyDiv w:val="1"/>
      <w:marLeft w:val="0"/>
      <w:marRight w:val="0"/>
      <w:marTop w:val="0"/>
      <w:marBottom w:val="0"/>
      <w:divBdr>
        <w:top w:val="none" w:sz="0" w:space="0" w:color="auto"/>
        <w:left w:val="none" w:sz="0" w:space="0" w:color="auto"/>
        <w:bottom w:val="none" w:sz="0" w:space="0" w:color="auto"/>
        <w:right w:val="none" w:sz="0" w:space="0" w:color="auto"/>
      </w:divBdr>
    </w:div>
    <w:div w:id="1790128155">
      <w:bodyDiv w:val="1"/>
      <w:marLeft w:val="0"/>
      <w:marRight w:val="0"/>
      <w:marTop w:val="0"/>
      <w:marBottom w:val="0"/>
      <w:divBdr>
        <w:top w:val="none" w:sz="0" w:space="0" w:color="auto"/>
        <w:left w:val="none" w:sz="0" w:space="0" w:color="auto"/>
        <w:bottom w:val="none" w:sz="0" w:space="0" w:color="auto"/>
        <w:right w:val="none" w:sz="0" w:space="0" w:color="auto"/>
      </w:divBdr>
    </w:div>
    <w:div w:id="19980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uria.europa.eu/juris/document/document.jsf?text&amp;docid=228668&amp;pageIndex=0&amp;doclang=es&amp;mode=req&amp;dir&amp;occ=first&amp;part=1&amp;cid=9811226" TargetMode="External"/><Relationship Id="rId3" Type="http://schemas.openxmlformats.org/officeDocument/2006/relationships/settings" Target="settings.xml"/><Relationship Id="rId7" Type="http://schemas.openxmlformats.org/officeDocument/2006/relationships/hyperlink" Target="https://www.comunidad.madrid/servicios/consumo/nueva-sentencia-tribunal-justicia-union-europea-gastos-formalizacion-hipote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oderjudicial.es/search/openDocument/a83f54a49332b0d0" TargetMode="External"/><Relationship Id="rId11" Type="http://schemas.openxmlformats.org/officeDocument/2006/relationships/theme" Target="theme/theme1.xml"/><Relationship Id="rId5" Type="http://schemas.openxmlformats.org/officeDocument/2006/relationships/hyperlink" Target="https://www.inmonews.es/sentencias-tribunal-supremo-reparto-gastos-hipoteca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uria.europa.eu/juris/document/document.jsf?text=&amp;docid=271337&amp;pageIndex=0&amp;doclang=es&amp;mode=req&amp;dir=&amp;occ=first&amp;part=1&amp;cid=27981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5913</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ALVAREZ HERNANDEZ</dc:creator>
  <cp:keywords/>
  <dc:description/>
  <cp:lastModifiedBy>Enrique Álvarez Hernández</cp:lastModifiedBy>
  <cp:revision>3</cp:revision>
  <dcterms:created xsi:type="dcterms:W3CDTF">2024-03-08T16:08:00Z</dcterms:created>
  <dcterms:modified xsi:type="dcterms:W3CDTF">2024-03-12T19:42:00Z</dcterms:modified>
</cp:coreProperties>
</file>